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7FAD" w14:textId="77777777" w:rsidR="00D10794" w:rsidRDefault="00D10794" w:rsidP="00D10794">
      <w:pPr>
        <w:autoSpaceDE/>
        <w:autoSpaceDN/>
        <w:adjustRightInd/>
        <w:spacing w:after="0"/>
      </w:pPr>
      <w:r>
        <w:t xml:space="preserve"> </w:t>
      </w:r>
    </w:p>
    <w:p w14:paraId="3576D8E7" w14:textId="77777777" w:rsidR="00D10794" w:rsidRPr="00506BBC" w:rsidRDefault="00D10794" w:rsidP="00D10794">
      <w:pPr>
        <w:autoSpaceDE/>
        <w:autoSpaceDN/>
        <w:adjustRightInd/>
        <w:spacing w:after="0"/>
        <w:rPr>
          <w:highlight w:val="yellow"/>
        </w:rPr>
        <w:sectPr w:rsidR="00D10794" w:rsidRPr="00506BBC" w:rsidSect="00D10794">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506BBC">
        <w:rPr>
          <w:noProof/>
          <w:highlight w:val="yellow"/>
          <w:lang w:eastAsia="en-GB"/>
        </w:rPr>
        <mc:AlternateContent>
          <mc:Choice Requires="wps">
            <w:drawing>
              <wp:anchor distT="0" distB="0" distL="114300" distR="114300" simplePos="0" relativeHeight="251658240" behindDoc="0" locked="0" layoutInCell="1" allowOverlap="1" wp14:anchorId="718C7560" wp14:editId="347FC92E">
                <wp:simplePos x="0" y="0"/>
                <wp:positionH relativeFrom="margin">
                  <wp:posOffset>-180753</wp:posOffset>
                </wp:positionH>
                <wp:positionV relativeFrom="paragraph">
                  <wp:posOffset>5747385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AE69" w14:textId="77777777" w:rsidR="00EF3BE0" w:rsidRDefault="00EF3BE0" w:rsidP="00D10794">
                            <w:pPr>
                              <w:spacing w:after="0"/>
                              <w:ind w:right="-46"/>
                              <w:jc w:val="left"/>
                              <w:rPr>
                                <w:rFonts w:cs="Arial"/>
                                <w:b/>
                                <w:bCs/>
                                <w:sz w:val="52"/>
                                <w:szCs w:val="52"/>
                              </w:rPr>
                            </w:pPr>
                          </w:p>
                          <w:p w14:paraId="10B1CC83" w14:textId="77777777" w:rsidR="00EF3BE0" w:rsidRPr="0037393E" w:rsidRDefault="00EF3BE0" w:rsidP="00D10794">
                            <w:pPr>
                              <w:spacing w:after="0"/>
                              <w:ind w:right="-46"/>
                              <w:jc w:val="left"/>
                              <w:rPr>
                                <w:rFonts w:cs="Arial"/>
                                <w:b/>
                                <w:bCs/>
                                <w:sz w:val="52"/>
                                <w:szCs w:val="52"/>
                              </w:rPr>
                            </w:pPr>
                          </w:p>
                          <w:p w14:paraId="0FFF7351" w14:textId="77777777" w:rsidR="00EF3BE0" w:rsidRDefault="00EF3BE0" w:rsidP="00D10794">
                            <w:pPr>
                              <w:spacing w:after="0"/>
                              <w:ind w:right="-46"/>
                              <w:jc w:val="left"/>
                              <w:rPr>
                                <w:rFonts w:cs="Arial"/>
                                <w:b/>
                                <w:bCs/>
                                <w:sz w:val="52"/>
                                <w:szCs w:val="52"/>
                              </w:rPr>
                            </w:pPr>
                            <w:r>
                              <w:rPr>
                                <w:rFonts w:cs="Arial"/>
                                <w:b/>
                                <w:bCs/>
                                <w:sz w:val="52"/>
                                <w:szCs w:val="52"/>
                              </w:rPr>
                              <w:t>Money Matters</w:t>
                            </w:r>
                          </w:p>
                          <w:p w14:paraId="55F7A6F8" w14:textId="77777777" w:rsidR="00EF3BE0" w:rsidRDefault="00EF3BE0" w:rsidP="00D10794">
                            <w:pPr>
                              <w:spacing w:after="0"/>
                              <w:ind w:right="-46"/>
                              <w:jc w:val="left"/>
                              <w:rPr>
                                <w:rFonts w:cs="Arial"/>
                                <w:b/>
                                <w:bCs/>
                                <w:sz w:val="52"/>
                                <w:szCs w:val="52"/>
                              </w:rPr>
                            </w:pPr>
                            <w:r>
                              <w:rPr>
                                <w:rFonts w:cs="Arial"/>
                                <w:b/>
                                <w:bCs/>
                                <w:sz w:val="52"/>
                                <w:szCs w:val="52"/>
                              </w:rPr>
                              <w:t xml:space="preserve">The County Council's Revenue and Capital Financial Position </w:t>
                            </w:r>
                          </w:p>
                          <w:p w14:paraId="18CD48F2" w14:textId="77777777" w:rsidR="00EF3BE0" w:rsidRPr="0037393E" w:rsidRDefault="00EF3BE0" w:rsidP="00D10794">
                            <w:pPr>
                              <w:spacing w:after="0"/>
                              <w:ind w:right="-46"/>
                              <w:jc w:val="left"/>
                              <w:rPr>
                                <w:rFonts w:cs="Arial"/>
                                <w:b/>
                                <w:bCs/>
                                <w:sz w:val="52"/>
                                <w:szCs w:val="52"/>
                              </w:rPr>
                            </w:pPr>
                            <w:r>
                              <w:rPr>
                                <w:rFonts w:cs="Arial"/>
                                <w:b/>
                                <w:bCs/>
                                <w:sz w:val="52"/>
                                <w:szCs w:val="52"/>
                              </w:rPr>
                              <w:t xml:space="preserve">2020/21 Outturn </w:t>
                            </w:r>
                          </w:p>
                          <w:p w14:paraId="16741F05" w14:textId="77777777" w:rsidR="00EF3BE0" w:rsidRPr="0037393E" w:rsidRDefault="00EF3BE0" w:rsidP="00D10794">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18C7560" id="_x0000_t202" coordsize="21600,21600" o:spt="202" path="m,l,21600r21600,l21600,xe">
                <v:stroke joinstyle="miter"/>
                <v:path gradientshapeok="t" o:connecttype="rect"/>
              </v:shapetype>
              <v:shape id="Text Box 4" o:spid="_x0000_s1026" type="#_x0000_t202" style="position:absolute;left:0;text-align:left;margin-left:-14.25pt;margin-top:452.55pt;width:522.85pt;height:23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" filled="f" stroked="f">
                <v:textbox>
                  <w:txbxContent>
                    <w:p w14:paraId="4D6AAE69" w14:textId="77777777" w:rsidR="00EF3BE0" w:rsidRDefault="00EF3BE0" w:rsidP="00D10794">
                      <w:pPr>
                        <w:spacing w:after="0"/>
                        <w:ind w:right="-46"/>
                        <w:jc w:val="left"/>
                        <w:rPr>
                          <w:rFonts w:cs="Arial"/>
                          <w:b/>
                          <w:bCs/>
                          <w:sz w:val="52"/>
                          <w:szCs w:val="52"/>
                        </w:rPr>
                      </w:pPr>
                    </w:p>
                    <w:p w14:paraId="10B1CC83" w14:textId="77777777" w:rsidR="00EF3BE0" w:rsidRPr="0037393E" w:rsidRDefault="00EF3BE0" w:rsidP="00D10794">
                      <w:pPr>
                        <w:spacing w:after="0"/>
                        <w:ind w:right="-46"/>
                        <w:jc w:val="left"/>
                        <w:rPr>
                          <w:rFonts w:cs="Arial"/>
                          <w:b/>
                          <w:bCs/>
                          <w:sz w:val="52"/>
                          <w:szCs w:val="52"/>
                        </w:rPr>
                      </w:pPr>
                    </w:p>
                    <w:p w14:paraId="0FFF7351" w14:textId="77777777" w:rsidR="00EF3BE0" w:rsidRDefault="00EF3BE0" w:rsidP="00D10794">
                      <w:pPr>
                        <w:spacing w:after="0"/>
                        <w:ind w:right="-46"/>
                        <w:jc w:val="left"/>
                        <w:rPr>
                          <w:rFonts w:cs="Arial"/>
                          <w:b/>
                          <w:bCs/>
                          <w:sz w:val="52"/>
                          <w:szCs w:val="52"/>
                        </w:rPr>
                      </w:pPr>
                      <w:r>
                        <w:rPr>
                          <w:rFonts w:cs="Arial"/>
                          <w:b/>
                          <w:bCs/>
                          <w:sz w:val="52"/>
                          <w:szCs w:val="52"/>
                        </w:rPr>
                        <w:t>Money Matters</w:t>
                      </w:r>
                    </w:p>
                    <w:p w14:paraId="55F7A6F8" w14:textId="77777777" w:rsidR="00EF3BE0" w:rsidRDefault="00EF3BE0" w:rsidP="00D10794">
                      <w:pPr>
                        <w:spacing w:after="0"/>
                        <w:ind w:right="-46"/>
                        <w:jc w:val="left"/>
                        <w:rPr>
                          <w:rFonts w:cs="Arial"/>
                          <w:b/>
                          <w:bCs/>
                          <w:sz w:val="52"/>
                          <w:szCs w:val="52"/>
                        </w:rPr>
                      </w:pPr>
                      <w:r>
                        <w:rPr>
                          <w:rFonts w:cs="Arial"/>
                          <w:b/>
                          <w:bCs/>
                          <w:sz w:val="52"/>
                          <w:szCs w:val="52"/>
                        </w:rPr>
                        <w:t xml:space="preserve">The County Council's Revenue and Capital Financial Position </w:t>
                      </w:r>
                    </w:p>
                    <w:p w14:paraId="18CD48F2" w14:textId="77777777" w:rsidR="00EF3BE0" w:rsidRPr="0037393E" w:rsidRDefault="00EF3BE0" w:rsidP="00D10794">
                      <w:pPr>
                        <w:spacing w:after="0"/>
                        <w:ind w:right="-46"/>
                        <w:jc w:val="left"/>
                        <w:rPr>
                          <w:rFonts w:cs="Arial"/>
                          <w:b/>
                          <w:bCs/>
                          <w:sz w:val="52"/>
                          <w:szCs w:val="52"/>
                        </w:rPr>
                      </w:pPr>
                      <w:r>
                        <w:rPr>
                          <w:rFonts w:cs="Arial"/>
                          <w:b/>
                          <w:bCs/>
                          <w:sz w:val="52"/>
                          <w:szCs w:val="52"/>
                        </w:rPr>
                        <w:t xml:space="preserve">2020/21 Outturn </w:t>
                      </w:r>
                    </w:p>
                    <w:p w14:paraId="16741F05" w14:textId="77777777" w:rsidR="00EF3BE0" w:rsidRPr="0037393E" w:rsidRDefault="00EF3BE0" w:rsidP="00D10794">
                      <w:pPr>
                        <w:spacing w:after="0"/>
                        <w:ind w:right="-46"/>
                        <w:jc w:val="left"/>
                        <w:rPr>
                          <w:rFonts w:cs="Arial"/>
                          <w:b/>
                          <w:bCs/>
                          <w:sz w:val="52"/>
                          <w:szCs w:val="52"/>
                        </w:rPr>
                      </w:pPr>
                    </w:p>
                  </w:txbxContent>
                </v:textbox>
                <w10:wrap anchorx="margin"/>
              </v:shape>
            </w:pict>
          </mc:Fallback>
        </mc:AlternateContent>
      </w:r>
    </w:p>
    <w:tbl>
      <w:tblPr>
        <w:tblStyle w:val="TableGrid"/>
        <w:tblW w:w="0" w:type="auto"/>
        <w:tblLook w:val="04A0" w:firstRow="1" w:lastRow="0" w:firstColumn="1" w:lastColumn="0" w:noHBand="0" w:noVBand="1"/>
      </w:tblPr>
      <w:tblGrid>
        <w:gridCol w:w="6657"/>
        <w:gridCol w:w="2318"/>
      </w:tblGrid>
      <w:tr w:rsidR="002F12B1" w14:paraId="7896B7D5" w14:textId="77777777" w:rsidTr="00D10794">
        <w:tc>
          <w:tcPr>
            <w:tcW w:w="6657" w:type="dxa"/>
          </w:tcPr>
          <w:p w14:paraId="2B6BF394" w14:textId="77777777" w:rsidR="00D10794" w:rsidRPr="00C06EF7" w:rsidRDefault="00D10794" w:rsidP="00D10794">
            <w:pPr>
              <w:spacing w:after="0"/>
              <w:ind w:right="-46"/>
              <w:jc w:val="center"/>
              <w:rPr>
                <w:rFonts w:cs="Arial"/>
                <w:b/>
                <w:bCs/>
                <w:sz w:val="26"/>
                <w:szCs w:val="26"/>
              </w:rPr>
            </w:pPr>
          </w:p>
          <w:p w14:paraId="676C508D" w14:textId="77777777" w:rsidR="00D10794" w:rsidRPr="00C06EF7" w:rsidRDefault="00D10794" w:rsidP="00D10794">
            <w:pPr>
              <w:spacing w:after="0"/>
              <w:ind w:right="-46"/>
              <w:jc w:val="center"/>
              <w:rPr>
                <w:rFonts w:cs="Arial"/>
                <w:b/>
                <w:bCs/>
                <w:sz w:val="26"/>
                <w:szCs w:val="26"/>
              </w:rPr>
            </w:pPr>
            <w:r w:rsidRPr="00C06EF7">
              <w:rPr>
                <w:rFonts w:cs="Arial"/>
                <w:b/>
                <w:bCs/>
                <w:sz w:val="26"/>
                <w:szCs w:val="26"/>
              </w:rPr>
              <w:t>Contents</w:t>
            </w:r>
          </w:p>
          <w:p w14:paraId="415B1E9E" w14:textId="77777777" w:rsidR="00D10794" w:rsidRPr="00C06EF7" w:rsidRDefault="00D10794" w:rsidP="00D10794">
            <w:pPr>
              <w:spacing w:after="0"/>
              <w:ind w:right="-46"/>
              <w:jc w:val="center"/>
              <w:rPr>
                <w:rFonts w:cs="Arial"/>
                <w:b/>
                <w:bCs/>
                <w:sz w:val="26"/>
                <w:szCs w:val="26"/>
              </w:rPr>
            </w:pPr>
          </w:p>
        </w:tc>
        <w:tc>
          <w:tcPr>
            <w:tcW w:w="2318" w:type="dxa"/>
          </w:tcPr>
          <w:p w14:paraId="5FB274BB" w14:textId="77777777" w:rsidR="00D10794" w:rsidRPr="00506BBC" w:rsidRDefault="00D10794" w:rsidP="00D10794">
            <w:pPr>
              <w:spacing w:after="0"/>
              <w:ind w:right="-46"/>
              <w:jc w:val="center"/>
              <w:rPr>
                <w:rFonts w:cs="Arial"/>
                <w:b/>
                <w:bCs/>
                <w:sz w:val="26"/>
                <w:szCs w:val="26"/>
                <w:highlight w:val="yellow"/>
              </w:rPr>
            </w:pPr>
          </w:p>
          <w:p w14:paraId="5C3501E6" w14:textId="77777777" w:rsidR="00D10794" w:rsidRPr="00506BBC" w:rsidRDefault="00D10794" w:rsidP="00D10794">
            <w:pPr>
              <w:spacing w:after="0"/>
              <w:ind w:right="-46"/>
              <w:jc w:val="center"/>
              <w:rPr>
                <w:rFonts w:cs="Arial"/>
                <w:b/>
                <w:bCs/>
                <w:sz w:val="26"/>
                <w:szCs w:val="26"/>
                <w:highlight w:val="yellow"/>
              </w:rPr>
            </w:pPr>
            <w:r w:rsidRPr="00247301">
              <w:rPr>
                <w:rFonts w:cs="Arial"/>
                <w:b/>
                <w:bCs/>
                <w:sz w:val="26"/>
                <w:szCs w:val="26"/>
              </w:rPr>
              <w:t>Page</w:t>
            </w:r>
          </w:p>
        </w:tc>
      </w:tr>
      <w:tr w:rsidR="002F12B1" w14:paraId="78E882B8" w14:textId="77777777" w:rsidTr="00D10794">
        <w:tc>
          <w:tcPr>
            <w:tcW w:w="6657" w:type="dxa"/>
            <w:vAlign w:val="center"/>
          </w:tcPr>
          <w:p w14:paraId="49175A11" w14:textId="77777777" w:rsidR="00D10794" w:rsidRPr="00C06EF7" w:rsidRDefault="00D10794" w:rsidP="00D10794">
            <w:pPr>
              <w:spacing w:after="0"/>
              <w:ind w:right="-46"/>
              <w:jc w:val="left"/>
              <w:rPr>
                <w:rFonts w:cs="Arial"/>
                <w:bCs/>
                <w:szCs w:val="26"/>
              </w:rPr>
            </w:pPr>
          </w:p>
          <w:p w14:paraId="1FE72967" w14:textId="77777777" w:rsidR="00D10794" w:rsidRPr="00C06EF7" w:rsidRDefault="00D10794" w:rsidP="00D10794">
            <w:pPr>
              <w:spacing w:after="0"/>
              <w:ind w:right="-46"/>
              <w:jc w:val="left"/>
              <w:rPr>
                <w:rFonts w:cs="Arial"/>
                <w:bCs/>
                <w:szCs w:val="26"/>
              </w:rPr>
            </w:pPr>
            <w:r w:rsidRPr="00C06EF7">
              <w:rPr>
                <w:rFonts w:cs="Arial"/>
                <w:bCs/>
                <w:szCs w:val="26"/>
              </w:rPr>
              <w:t>Executive Summary</w:t>
            </w:r>
          </w:p>
          <w:p w14:paraId="022C0520" w14:textId="77777777" w:rsidR="00D10794" w:rsidRPr="00C06EF7" w:rsidRDefault="00D10794" w:rsidP="00D10794">
            <w:pPr>
              <w:spacing w:after="0"/>
              <w:ind w:right="-46"/>
              <w:jc w:val="left"/>
              <w:rPr>
                <w:rFonts w:cs="Arial"/>
                <w:bCs/>
                <w:szCs w:val="26"/>
              </w:rPr>
            </w:pPr>
          </w:p>
        </w:tc>
        <w:tc>
          <w:tcPr>
            <w:tcW w:w="2318" w:type="dxa"/>
            <w:vAlign w:val="center"/>
          </w:tcPr>
          <w:p w14:paraId="6DCD52A5" w14:textId="66AAC3AB" w:rsidR="00D10794" w:rsidRPr="00B647A5" w:rsidRDefault="00B647A5" w:rsidP="00D10794">
            <w:pPr>
              <w:spacing w:after="0"/>
              <w:ind w:right="-46"/>
              <w:jc w:val="center"/>
              <w:rPr>
                <w:rFonts w:cs="Arial"/>
                <w:bCs/>
                <w:szCs w:val="26"/>
              </w:rPr>
            </w:pPr>
            <w:r w:rsidRPr="00B647A5">
              <w:rPr>
                <w:rFonts w:cs="Arial"/>
                <w:bCs/>
                <w:szCs w:val="26"/>
              </w:rPr>
              <w:t>2</w:t>
            </w:r>
          </w:p>
        </w:tc>
      </w:tr>
      <w:tr w:rsidR="002F12B1" w14:paraId="6107EDF6" w14:textId="77777777" w:rsidTr="00D10794">
        <w:tc>
          <w:tcPr>
            <w:tcW w:w="6657" w:type="dxa"/>
          </w:tcPr>
          <w:p w14:paraId="0AEBCAA7" w14:textId="77777777" w:rsidR="00D10794" w:rsidRPr="00C06EF7" w:rsidRDefault="00D10794" w:rsidP="00D10794">
            <w:pPr>
              <w:tabs>
                <w:tab w:val="left" w:pos="1447"/>
              </w:tabs>
              <w:spacing w:after="0"/>
              <w:ind w:right="-46"/>
              <w:rPr>
                <w:rFonts w:cs="Arial"/>
                <w:bCs/>
              </w:rPr>
            </w:pPr>
          </w:p>
          <w:p w14:paraId="12CA1B3F" w14:textId="77777777" w:rsidR="00D10794" w:rsidRPr="00C06EF7" w:rsidRDefault="00D10794" w:rsidP="00D10794">
            <w:pPr>
              <w:tabs>
                <w:tab w:val="left" w:pos="1447"/>
              </w:tabs>
              <w:spacing w:after="0"/>
              <w:ind w:right="-46"/>
              <w:rPr>
                <w:rFonts w:cs="Arial"/>
                <w:bCs/>
              </w:rPr>
            </w:pPr>
            <w:r w:rsidRPr="00C06EF7">
              <w:rPr>
                <w:rFonts w:cs="Arial"/>
                <w:bCs/>
              </w:rPr>
              <w:t>Section A - The 20</w:t>
            </w:r>
            <w:r>
              <w:rPr>
                <w:rFonts w:cs="Arial"/>
                <w:bCs/>
              </w:rPr>
              <w:t>20</w:t>
            </w:r>
            <w:r w:rsidRPr="00C06EF7">
              <w:rPr>
                <w:rFonts w:cs="Arial"/>
                <w:bCs/>
              </w:rPr>
              <w:t>/2</w:t>
            </w:r>
            <w:r>
              <w:rPr>
                <w:rFonts w:cs="Arial"/>
                <w:bCs/>
              </w:rPr>
              <w:t>1</w:t>
            </w:r>
            <w:r w:rsidRPr="00C06EF7">
              <w:rPr>
                <w:rFonts w:cs="Arial"/>
                <w:bCs/>
              </w:rPr>
              <w:t xml:space="preserve"> Revenue Budget</w:t>
            </w:r>
          </w:p>
          <w:p w14:paraId="6E840AAA" w14:textId="77777777" w:rsidR="00D10794" w:rsidRPr="00C06EF7" w:rsidRDefault="00D10794" w:rsidP="00D10794">
            <w:pPr>
              <w:tabs>
                <w:tab w:val="left" w:pos="1447"/>
              </w:tabs>
              <w:spacing w:after="0"/>
              <w:ind w:right="-46"/>
              <w:rPr>
                <w:rFonts w:cs="Arial"/>
                <w:bCs/>
              </w:rPr>
            </w:pPr>
          </w:p>
        </w:tc>
        <w:tc>
          <w:tcPr>
            <w:tcW w:w="2318" w:type="dxa"/>
            <w:vAlign w:val="center"/>
          </w:tcPr>
          <w:p w14:paraId="5A9A003C" w14:textId="65E590DD" w:rsidR="00D10794" w:rsidRPr="00B647A5" w:rsidRDefault="00B647A5" w:rsidP="00D10794">
            <w:pPr>
              <w:spacing w:after="0"/>
              <w:ind w:right="-46"/>
              <w:jc w:val="center"/>
              <w:rPr>
                <w:rFonts w:cs="Arial"/>
                <w:bCs/>
              </w:rPr>
            </w:pPr>
            <w:r w:rsidRPr="00B647A5">
              <w:rPr>
                <w:rFonts w:cs="Arial"/>
                <w:bCs/>
              </w:rPr>
              <w:t>4</w:t>
            </w:r>
          </w:p>
        </w:tc>
      </w:tr>
      <w:tr w:rsidR="002F12B1" w14:paraId="2ECE2D07" w14:textId="77777777" w:rsidTr="00D10794">
        <w:tc>
          <w:tcPr>
            <w:tcW w:w="6657" w:type="dxa"/>
          </w:tcPr>
          <w:p w14:paraId="0840F35A" w14:textId="77777777" w:rsidR="00D10794" w:rsidRPr="00C06EF7" w:rsidRDefault="00D10794" w:rsidP="00D10794">
            <w:pPr>
              <w:tabs>
                <w:tab w:val="left" w:pos="1447"/>
              </w:tabs>
              <w:spacing w:after="0"/>
              <w:ind w:right="-46"/>
              <w:rPr>
                <w:rFonts w:cs="Arial"/>
                <w:bCs/>
              </w:rPr>
            </w:pPr>
          </w:p>
          <w:p w14:paraId="3EC47646" w14:textId="77777777" w:rsidR="00D10794" w:rsidRPr="00C06EF7" w:rsidRDefault="00D10794" w:rsidP="00D10794">
            <w:pPr>
              <w:tabs>
                <w:tab w:val="left" w:pos="1447"/>
              </w:tabs>
              <w:spacing w:after="0"/>
              <w:ind w:right="-46"/>
              <w:rPr>
                <w:rFonts w:cs="Arial"/>
                <w:bCs/>
              </w:rPr>
            </w:pPr>
            <w:r w:rsidRPr="00C06EF7">
              <w:rPr>
                <w:rFonts w:cs="Arial"/>
                <w:bCs/>
              </w:rPr>
              <w:t>Section B – The 20</w:t>
            </w:r>
            <w:r>
              <w:rPr>
                <w:rFonts w:cs="Arial"/>
                <w:bCs/>
              </w:rPr>
              <w:t>20</w:t>
            </w:r>
            <w:r w:rsidRPr="00C06EF7">
              <w:rPr>
                <w:rFonts w:cs="Arial"/>
                <w:bCs/>
              </w:rPr>
              <w:t>/2</w:t>
            </w:r>
            <w:r>
              <w:rPr>
                <w:rFonts w:cs="Arial"/>
                <w:bCs/>
              </w:rPr>
              <w:t>1</w:t>
            </w:r>
            <w:r w:rsidRPr="00C06EF7">
              <w:rPr>
                <w:rFonts w:cs="Arial"/>
                <w:bCs/>
              </w:rPr>
              <w:t xml:space="preserve"> Schools Budget </w:t>
            </w:r>
          </w:p>
          <w:p w14:paraId="11FA2636" w14:textId="77777777" w:rsidR="00D10794" w:rsidRPr="00C06EF7" w:rsidRDefault="00D10794" w:rsidP="00D10794">
            <w:pPr>
              <w:tabs>
                <w:tab w:val="left" w:pos="1447"/>
              </w:tabs>
              <w:spacing w:after="0"/>
              <w:ind w:right="-46"/>
              <w:rPr>
                <w:rFonts w:cs="Arial"/>
                <w:bCs/>
              </w:rPr>
            </w:pPr>
          </w:p>
        </w:tc>
        <w:tc>
          <w:tcPr>
            <w:tcW w:w="2318" w:type="dxa"/>
            <w:vAlign w:val="center"/>
          </w:tcPr>
          <w:p w14:paraId="4498A3BC" w14:textId="2923D010" w:rsidR="00D10794" w:rsidRPr="00B647A5" w:rsidRDefault="00B647A5" w:rsidP="00D10794">
            <w:pPr>
              <w:spacing w:after="0"/>
              <w:ind w:right="-46"/>
              <w:jc w:val="center"/>
              <w:rPr>
                <w:rFonts w:cs="Arial"/>
                <w:bCs/>
              </w:rPr>
            </w:pPr>
            <w:r w:rsidRPr="00B647A5">
              <w:rPr>
                <w:rFonts w:cs="Arial"/>
                <w:bCs/>
              </w:rPr>
              <w:t>28</w:t>
            </w:r>
          </w:p>
        </w:tc>
      </w:tr>
      <w:tr w:rsidR="002F12B1" w14:paraId="4A181186" w14:textId="77777777" w:rsidTr="00D10794">
        <w:tc>
          <w:tcPr>
            <w:tcW w:w="6657" w:type="dxa"/>
          </w:tcPr>
          <w:p w14:paraId="36A23531" w14:textId="77777777" w:rsidR="00D10794" w:rsidRPr="00C06EF7" w:rsidRDefault="00D10794" w:rsidP="00D10794">
            <w:pPr>
              <w:tabs>
                <w:tab w:val="left" w:pos="1447"/>
              </w:tabs>
              <w:spacing w:after="0"/>
              <w:ind w:right="-46"/>
              <w:rPr>
                <w:rFonts w:cs="Arial"/>
                <w:bCs/>
              </w:rPr>
            </w:pPr>
          </w:p>
          <w:p w14:paraId="07DF75DE" w14:textId="77777777" w:rsidR="00D10794" w:rsidRPr="00C06EF7" w:rsidRDefault="00D10794" w:rsidP="00D10794">
            <w:pPr>
              <w:tabs>
                <w:tab w:val="left" w:pos="1447"/>
              </w:tabs>
              <w:spacing w:after="0"/>
              <w:ind w:right="-46"/>
              <w:rPr>
                <w:rFonts w:cs="Arial"/>
                <w:bCs/>
              </w:rPr>
            </w:pPr>
            <w:r w:rsidRPr="00C06EF7">
              <w:rPr>
                <w:rFonts w:cs="Arial"/>
                <w:bCs/>
              </w:rPr>
              <w:t>Section C – The 20</w:t>
            </w:r>
            <w:r>
              <w:rPr>
                <w:rFonts w:cs="Arial"/>
                <w:bCs/>
              </w:rPr>
              <w:t>20/</w:t>
            </w:r>
            <w:r w:rsidRPr="00C06EF7">
              <w:rPr>
                <w:rFonts w:cs="Arial"/>
                <w:bCs/>
              </w:rPr>
              <w:t>2</w:t>
            </w:r>
            <w:r>
              <w:rPr>
                <w:rFonts w:cs="Arial"/>
                <w:bCs/>
              </w:rPr>
              <w:t>1</w:t>
            </w:r>
            <w:r w:rsidRPr="00C06EF7">
              <w:rPr>
                <w:rFonts w:cs="Arial"/>
                <w:bCs/>
              </w:rPr>
              <w:t xml:space="preserve"> Capital Programme</w:t>
            </w:r>
          </w:p>
          <w:p w14:paraId="22B969B1" w14:textId="77777777" w:rsidR="00D10794" w:rsidRPr="00C06EF7" w:rsidRDefault="00D10794" w:rsidP="00D10794">
            <w:pPr>
              <w:tabs>
                <w:tab w:val="left" w:pos="1447"/>
              </w:tabs>
              <w:spacing w:after="0"/>
              <w:ind w:right="-46"/>
              <w:rPr>
                <w:rFonts w:cs="Arial"/>
                <w:bCs/>
              </w:rPr>
            </w:pPr>
          </w:p>
        </w:tc>
        <w:tc>
          <w:tcPr>
            <w:tcW w:w="2318" w:type="dxa"/>
            <w:vAlign w:val="center"/>
          </w:tcPr>
          <w:p w14:paraId="3E186CF0" w14:textId="7AA639AC" w:rsidR="00D10794" w:rsidRPr="00B647A5" w:rsidRDefault="00B647A5" w:rsidP="00D10794">
            <w:pPr>
              <w:spacing w:after="0"/>
              <w:ind w:right="-46"/>
              <w:jc w:val="center"/>
              <w:rPr>
                <w:rFonts w:cs="Arial"/>
                <w:bCs/>
              </w:rPr>
            </w:pPr>
            <w:r w:rsidRPr="00B647A5">
              <w:rPr>
                <w:rFonts w:cs="Arial"/>
                <w:bCs/>
              </w:rPr>
              <w:t>32</w:t>
            </w:r>
          </w:p>
        </w:tc>
      </w:tr>
      <w:tr w:rsidR="002F12B1" w14:paraId="38EAD6DF" w14:textId="77777777" w:rsidTr="00D10794">
        <w:tc>
          <w:tcPr>
            <w:tcW w:w="6657" w:type="dxa"/>
          </w:tcPr>
          <w:p w14:paraId="18650F75" w14:textId="77777777" w:rsidR="00D10794" w:rsidRPr="00C06EF7" w:rsidRDefault="00D10794" w:rsidP="00D10794">
            <w:pPr>
              <w:tabs>
                <w:tab w:val="left" w:pos="1447"/>
              </w:tabs>
              <w:spacing w:after="0"/>
              <w:ind w:right="-46"/>
              <w:rPr>
                <w:rFonts w:cs="Arial"/>
                <w:bCs/>
              </w:rPr>
            </w:pPr>
          </w:p>
          <w:p w14:paraId="780EC3CE" w14:textId="77777777" w:rsidR="00D10794" w:rsidRPr="00C06EF7" w:rsidRDefault="00D10794" w:rsidP="00D10794">
            <w:pPr>
              <w:tabs>
                <w:tab w:val="left" w:pos="1447"/>
              </w:tabs>
              <w:spacing w:after="0"/>
              <w:ind w:left="1305" w:right="-46" w:hanging="1276"/>
              <w:rPr>
                <w:rFonts w:cs="Arial"/>
                <w:bCs/>
              </w:rPr>
            </w:pPr>
            <w:r w:rsidRPr="00C06EF7">
              <w:rPr>
                <w:rFonts w:cs="Arial"/>
                <w:bCs/>
              </w:rPr>
              <w:t>Section D – County Fund Balance, Reserves, Provisions and Capital Receipts</w:t>
            </w:r>
          </w:p>
          <w:p w14:paraId="697AC0E7" w14:textId="77777777" w:rsidR="00D10794" w:rsidRPr="00C06EF7" w:rsidRDefault="00D10794" w:rsidP="00D10794">
            <w:pPr>
              <w:tabs>
                <w:tab w:val="left" w:pos="1447"/>
              </w:tabs>
              <w:spacing w:after="0"/>
              <w:ind w:right="-46"/>
              <w:rPr>
                <w:rFonts w:cs="Arial"/>
                <w:bCs/>
              </w:rPr>
            </w:pPr>
          </w:p>
        </w:tc>
        <w:tc>
          <w:tcPr>
            <w:tcW w:w="2318" w:type="dxa"/>
            <w:vAlign w:val="center"/>
          </w:tcPr>
          <w:p w14:paraId="25473C8E" w14:textId="4704CBFE" w:rsidR="00D10794" w:rsidRPr="00B647A5" w:rsidRDefault="00B647A5" w:rsidP="00D10794">
            <w:pPr>
              <w:spacing w:after="0"/>
              <w:ind w:right="-46"/>
              <w:jc w:val="center"/>
              <w:rPr>
                <w:rFonts w:cs="Arial"/>
                <w:bCs/>
              </w:rPr>
            </w:pPr>
            <w:r w:rsidRPr="00B647A5">
              <w:rPr>
                <w:rFonts w:cs="Arial"/>
                <w:bCs/>
              </w:rPr>
              <w:t>46</w:t>
            </w:r>
          </w:p>
        </w:tc>
      </w:tr>
      <w:tr w:rsidR="002F12B1" w14:paraId="020F2415" w14:textId="77777777" w:rsidTr="00D10794">
        <w:tc>
          <w:tcPr>
            <w:tcW w:w="6657" w:type="dxa"/>
          </w:tcPr>
          <w:p w14:paraId="24420733" w14:textId="77777777" w:rsidR="00D10794" w:rsidRPr="00C06EF7" w:rsidRDefault="00D10794" w:rsidP="00D10794">
            <w:pPr>
              <w:tabs>
                <w:tab w:val="left" w:pos="1447"/>
              </w:tabs>
              <w:spacing w:after="0"/>
              <w:ind w:right="-46"/>
              <w:rPr>
                <w:rFonts w:cs="Arial"/>
                <w:bCs/>
              </w:rPr>
            </w:pPr>
          </w:p>
          <w:p w14:paraId="141AEF5F" w14:textId="77777777" w:rsidR="00D10794" w:rsidRPr="00C06EF7" w:rsidRDefault="00D10794" w:rsidP="00D10794">
            <w:pPr>
              <w:tabs>
                <w:tab w:val="left" w:pos="1447"/>
              </w:tabs>
              <w:spacing w:after="0"/>
              <w:ind w:right="-46"/>
              <w:rPr>
                <w:rFonts w:cs="Arial"/>
                <w:bCs/>
              </w:rPr>
            </w:pPr>
            <w:r w:rsidRPr="00C06EF7">
              <w:rPr>
                <w:rFonts w:cs="Arial"/>
                <w:bCs/>
              </w:rPr>
              <w:t xml:space="preserve">Section E – Conclusion on the County Council's Financial      </w:t>
            </w:r>
            <w:r w:rsidRPr="00C06EF7">
              <w:rPr>
                <w:rFonts w:cs="Arial"/>
                <w:bCs/>
              </w:rPr>
              <w:tab/>
              <w:t>Health</w:t>
            </w:r>
          </w:p>
          <w:p w14:paraId="685DB9B2" w14:textId="77777777" w:rsidR="00D10794" w:rsidRPr="00C06EF7" w:rsidRDefault="00D10794" w:rsidP="00D10794">
            <w:pPr>
              <w:tabs>
                <w:tab w:val="left" w:pos="1447"/>
              </w:tabs>
              <w:spacing w:after="0"/>
              <w:ind w:right="-46"/>
              <w:rPr>
                <w:rFonts w:cs="Arial"/>
                <w:bCs/>
              </w:rPr>
            </w:pPr>
          </w:p>
        </w:tc>
        <w:tc>
          <w:tcPr>
            <w:tcW w:w="2318" w:type="dxa"/>
            <w:vAlign w:val="center"/>
          </w:tcPr>
          <w:p w14:paraId="6EA9C59E" w14:textId="4CD4B05F" w:rsidR="00D10794" w:rsidRPr="00B647A5" w:rsidRDefault="00B647A5" w:rsidP="00D10794">
            <w:pPr>
              <w:spacing w:after="0"/>
              <w:ind w:right="-46"/>
              <w:jc w:val="center"/>
              <w:rPr>
                <w:rFonts w:cs="Arial"/>
                <w:bCs/>
              </w:rPr>
            </w:pPr>
            <w:r w:rsidRPr="00B647A5">
              <w:rPr>
                <w:rFonts w:cs="Arial"/>
                <w:bCs/>
              </w:rPr>
              <w:t>50</w:t>
            </w:r>
          </w:p>
        </w:tc>
      </w:tr>
    </w:tbl>
    <w:p w14:paraId="19E7D97A" w14:textId="77777777" w:rsidR="00D10794" w:rsidRPr="00506BBC" w:rsidRDefault="00D10794" w:rsidP="00D10794">
      <w:pPr>
        <w:tabs>
          <w:tab w:val="left" w:pos="851"/>
          <w:tab w:val="left" w:pos="1418"/>
        </w:tabs>
        <w:spacing w:after="0"/>
        <w:rPr>
          <w:rFonts w:eastAsia="Times New Roman" w:cs="Arial"/>
          <w:highlight w:val="yellow"/>
          <w:lang w:eastAsia="en-GB"/>
        </w:rPr>
      </w:pPr>
    </w:p>
    <w:p w14:paraId="6E8ED85D" w14:textId="77777777" w:rsidR="00D10794" w:rsidRPr="00506BBC" w:rsidRDefault="00D10794" w:rsidP="00D10794">
      <w:pPr>
        <w:autoSpaceDE/>
        <w:autoSpaceDN/>
        <w:adjustRightInd/>
        <w:spacing w:after="0"/>
        <w:jc w:val="left"/>
        <w:rPr>
          <w:rFonts w:eastAsia="Times New Roman" w:cs="Arial"/>
          <w:highlight w:val="yellow"/>
          <w:lang w:eastAsia="en-GB"/>
        </w:rPr>
      </w:pPr>
      <w:r w:rsidRPr="00506BBC">
        <w:rPr>
          <w:rFonts w:eastAsia="Times New Roman" w:cs="Arial"/>
          <w:highlight w:val="yellow"/>
          <w:lang w:eastAsia="en-GB"/>
        </w:rPr>
        <w:br w:type="page"/>
      </w:r>
    </w:p>
    <w:p w14:paraId="790F5DB8" w14:textId="77777777" w:rsidR="00D10794" w:rsidRPr="00B61F6C" w:rsidRDefault="00D10794" w:rsidP="00D10794">
      <w:pPr>
        <w:autoSpaceDE/>
        <w:autoSpaceDN/>
        <w:adjustRightInd/>
        <w:spacing w:after="0"/>
        <w:jc w:val="left"/>
        <w:rPr>
          <w:rFonts w:eastAsia="Times New Roman" w:cs="Arial"/>
          <w:b/>
          <w:lang w:eastAsia="en-GB"/>
        </w:rPr>
      </w:pPr>
      <w:r w:rsidRPr="00B61F6C">
        <w:rPr>
          <w:rFonts w:eastAsia="Times New Roman" w:cs="Arial"/>
          <w:b/>
          <w:lang w:eastAsia="en-GB"/>
        </w:rPr>
        <w:lastRenderedPageBreak/>
        <w:t>Executive Summary</w:t>
      </w:r>
    </w:p>
    <w:p w14:paraId="5D8B5873" w14:textId="77777777" w:rsidR="00D10794" w:rsidRPr="00B61F6C" w:rsidRDefault="00D10794" w:rsidP="00D10794">
      <w:pPr>
        <w:tabs>
          <w:tab w:val="left" w:pos="851"/>
          <w:tab w:val="left" w:pos="1418"/>
        </w:tabs>
        <w:spacing w:after="0"/>
        <w:rPr>
          <w:rFonts w:eastAsia="Times New Roman" w:cs="Arial"/>
          <w:b/>
          <w:lang w:eastAsia="en-GB"/>
        </w:rPr>
      </w:pPr>
    </w:p>
    <w:p w14:paraId="45CD1050" w14:textId="77777777" w:rsidR="00D10794" w:rsidRPr="00B61F6C" w:rsidRDefault="00D10794" w:rsidP="00D10794">
      <w:pPr>
        <w:tabs>
          <w:tab w:val="left" w:pos="851"/>
          <w:tab w:val="left" w:pos="1418"/>
        </w:tabs>
        <w:spacing w:after="0"/>
        <w:rPr>
          <w:rFonts w:eastAsia="Times New Roman" w:cs="Arial"/>
          <w:lang w:eastAsia="en-GB"/>
        </w:rPr>
      </w:pPr>
      <w:r w:rsidRPr="00B61F6C">
        <w:rPr>
          <w:rFonts w:eastAsia="Times New Roman" w:cs="Arial"/>
          <w:lang w:eastAsia="en-GB"/>
        </w:rPr>
        <w:t xml:space="preserve">This report provides details for Cabinet on the County Council's 2020/21 revenue and capital outturn position. </w:t>
      </w:r>
    </w:p>
    <w:p w14:paraId="66F7B36A"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47AAC7FE" w14:textId="77777777" w:rsidR="00D10794" w:rsidRPr="00B61F6C" w:rsidRDefault="00D10794" w:rsidP="00D10794">
      <w:pPr>
        <w:tabs>
          <w:tab w:val="left" w:pos="851"/>
          <w:tab w:val="left" w:pos="1418"/>
        </w:tabs>
        <w:spacing w:after="0"/>
        <w:rPr>
          <w:rFonts w:eastAsia="Times New Roman" w:cs="Arial"/>
          <w:i/>
          <w:u w:val="single"/>
          <w:lang w:eastAsia="en-GB"/>
        </w:rPr>
      </w:pPr>
      <w:r w:rsidRPr="00B61F6C">
        <w:rPr>
          <w:rFonts w:eastAsia="Times New Roman" w:cs="Arial"/>
          <w:i/>
          <w:u w:val="single"/>
          <w:lang w:eastAsia="en-GB"/>
        </w:rPr>
        <w:t xml:space="preserve">2020/21 Revenue Budget </w:t>
      </w:r>
    </w:p>
    <w:p w14:paraId="7DC736FB" w14:textId="77777777" w:rsidR="00D10794" w:rsidRPr="00C529BF" w:rsidRDefault="00D10794" w:rsidP="00D10794">
      <w:pPr>
        <w:tabs>
          <w:tab w:val="left" w:pos="851"/>
          <w:tab w:val="left" w:pos="1418"/>
        </w:tabs>
        <w:spacing w:after="0"/>
        <w:rPr>
          <w:rFonts w:eastAsia="Times New Roman" w:cs="Arial"/>
          <w:i/>
          <w:highlight w:val="yellow"/>
          <w:u w:val="single"/>
          <w:lang w:eastAsia="en-GB"/>
        </w:rPr>
      </w:pPr>
    </w:p>
    <w:p w14:paraId="5E9547F9" w14:textId="77777777" w:rsidR="00D10794" w:rsidRPr="00B61F6C" w:rsidRDefault="00D10794" w:rsidP="00D10794">
      <w:pPr>
        <w:tabs>
          <w:tab w:val="left" w:pos="851"/>
          <w:tab w:val="left" w:pos="1418"/>
        </w:tabs>
        <w:spacing w:after="0"/>
        <w:rPr>
          <w:rFonts w:eastAsia="Times New Roman" w:cs="Arial"/>
          <w:lang w:eastAsia="en-GB"/>
        </w:rPr>
      </w:pPr>
      <w:r w:rsidRPr="00B61F6C">
        <w:rPr>
          <w:rFonts w:eastAsia="Times New Roman" w:cs="Arial"/>
          <w:lang w:eastAsia="en-GB"/>
        </w:rPr>
        <w:t xml:space="preserve">The report outlines the final revenue outturn position whilst also providing a comparison to the last reported position at Quarter 3. The final position at the end of the year is net expenditure </w:t>
      </w:r>
      <w:r w:rsidRPr="00B61F6C">
        <w:rPr>
          <w:rFonts w:eastAsia="Times New Roman" w:cs="Arial"/>
          <w:color w:val="auto"/>
          <w:lang w:eastAsia="en-GB"/>
        </w:rPr>
        <w:t>of £825.</w:t>
      </w:r>
      <w:r w:rsidRPr="00C51D54">
        <w:rPr>
          <w:rFonts w:eastAsia="Times New Roman" w:cs="Arial"/>
          <w:color w:val="auto"/>
          <w:lang w:eastAsia="en-GB"/>
        </w:rPr>
        <w:t xml:space="preserve">619m, </w:t>
      </w:r>
      <w:r w:rsidRPr="00C51D54">
        <w:t>against and approved budget of £844.851m</w:t>
      </w:r>
      <w:r>
        <w:rPr>
          <w:rFonts w:eastAsia="Times New Roman" w:cs="Arial"/>
          <w:color w:val="auto"/>
          <w:lang w:eastAsia="en-GB"/>
        </w:rPr>
        <w:t xml:space="preserve">, </w:t>
      </w:r>
      <w:r w:rsidRPr="00B61F6C">
        <w:rPr>
          <w:rFonts w:eastAsia="Times New Roman" w:cs="Arial"/>
          <w:color w:val="auto"/>
          <w:lang w:eastAsia="en-GB"/>
        </w:rPr>
        <w:t xml:space="preserve">which </w:t>
      </w:r>
      <w:r w:rsidRPr="00B61F6C">
        <w:rPr>
          <w:rFonts w:eastAsia="Times New Roman" w:cs="Arial"/>
          <w:lang w:eastAsia="en-GB"/>
        </w:rPr>
        <w:t>represents an in</w:t>
      </w:r>
      <w:r>
        <w:rPr>
          <w:rFonts w:eastAsia="Times New Roman" w:cs="Arial"/>
          <w:lang w:eastAsia="en-GB"/>
        </w:rPr>
        <w:t>-</w:t>
      </w:r>
      <w:r w:rsidRPr="00B61F6C">
        <w:rPr>
          <w:rFonts w:eastAsia="Times New Roman" w:cs="Arial"/>
          <w:lang w:eastAsia="en-GB"/>
        </w:rPr>
        <w:t>year underspend of £19.23</w:t>
      </w:r>
      <w:r>
        <w:rPr>
          <w:rFonts w:eastAsia="Times New Roman" w:cs="Arial"/>
          <w:lang w:eastAsia="en-GB"/>
        </w:rPr>
        <w:t>2</w:t>
      </w:r>
      <w:r w:rsidRPr="00B61F6C">
        <w:rPr>
          <w:rFonts w:eastAsia="Times New Roman" w:cs="Arial"/>
          <w:lang w:eastAsia="en-GB"/>
        </w:rPr>
        <w:t xml:space="preserve">m </w:t>
      </w:r>
      <w:r>
        <w:rPr>
          <w:rFonts w:eastAsia="Times New Roman" w:cs="Arial"/>
          <w:lang w:eastAsia="en-GB"/>
        </w:rPr>
        <w:t>or</w:t>
      </w:r>
      <w:r w:rsidRPr="00B61F6C">
        <w:rPr>
          <w:rFonts w:eastAsia="Times New Roman" w:cs="Arial"/>
          <w:lang w:eastAsia="en-GB"/>
        </w:rPr>
        <w:t xml:space="preserve"> 2.28% of the revenue budget. </w:t>
      </w:r>
    </w:p>
    <w:p w14:paraId="1FF700FD"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61EDA21B" w14:textId="74E5A6BC" w:rsidR="00D10794" w:rsidRPr="00B61F6C" w:rsidRDefault="00D10794" w:rsidP="00D10794">
      <w:pPr>
        <w:tabs>
          <w:tab w:val="left" w:pos="851"/>
          <w:tab w:val="left" w:pos="1418"/>
        </w:tabs>
        <w:spacing w:after="0"/>
        <w:rPr>
          <w:rFonts w:eastAsia="Times New Roman" w:cs="Arial"/>
          <w:b/>
          <w:lang w:eastAsia="en-GB"/>
        </w:rPr>
      </w:pPr>
      <w:bookmarkStart w:id="0" w:name="_Hlk71804361"/>
      <w:r w:rsidRPr="00B61F6C">
        <w:rPr>
          <w:rFonts w:eastAsia="Times New Roman" w:cs="Arial"/>
          <w:lang w:eastAsia="en-GB"/>
        </w:rPr>
        <w:t>The revenue position includes a</w:t>
      </w:r>
      <w:r w:rsidRPr="00C51D54">
        <w:rPr>
          <w:rFonts w:eastAsia="Times New Roman" w:cs="Arial"/>
          <w:lang w:eastAsia="en-GB"/>
        </w:rPr>
        <w:t xml:space="preserve"> contribution to reserves of £1.358m as agreed in the </w:t>
      </w:r>
      <w:r>
        <w:rPr>
          <w:rFonts w:eastAsia="Times New Roman" w:cs="Arial"/>
          <w:lang w:eastAsia="en-GB"/>
        </w:rPr>
        <w:t>20</w:t>
      </w:r>
      <w:r w:rsidRPr="00C51D54">
        <w:rPr>
          <w:rFonts w:eastAsia="Times New Roman" w:cs="Arial"/>
          <w:lang w:eastAsia="en-GB"/>
        </w:rPr>
        <w:t xml:space="preserve">20/21 budget setting process </w:t>
      </w:r>
    </w:p>
    <w:bookmarkEnd w:id="0"/>
    <w:p w14:paraId="7470C87C"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25C845B8" w14:textId="77777777" w:rsidR="00D10794" w:rsidRPr="00B61F6C" w:rsidRDefault="00D10794" w:rsidP="00D10794">
      <w:pPr>
        <w:tabs>
          <w:tab w:val="left" w:pos="851"/>
          <w:tab w:val="left" w:pos="1418"/>
        </w:tabs>
        <w:spacing w:after="0"/>
        <w:rPr>
          <w:rFonts w:eastAsia="Times New Roman" w:cs="Arial"/>
          <w:lang w:eastAsia="en-GB"/>
        </w:rPr>
      </w:pPr>
      <w:r w:rsidRPr="00B61F6C">
        <w:rPr>
          <w:rFonts w:eastAsia="Times New Roman" w:cs="Arial"/>
          <w:lang w:eastAsia="en-GB"/>
        </w:rPr>
        <w:t>The most significant areas of over and underspend in 2020/21 are as follows:</w:t>
      </w:r>
    </w:p>
    <w:p w14:paraId="0F276350"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7519A1C4" w14:textId="77777777" w:rsidR="00D10794" w:rsidRPr="007E36EC" w:rsidRDefault="00D10794" w:rsidP="00D10794">
      <w:pPr>
        <w:pStyle w:val="ListParagraph"/>
        <w:numPr>
          <w:ilvl w:val="0"/>
          <w:numId w:val="27"/>
        </w:numPr>
        <w:tabs>
          <w:tab w:val="left" w:pos="851"/>
          <w:tab w:val="left" w:pos="1418"/>
        </w:tabs>
        <w:spacing w:after="0"/>
        <w:rPr>
          <w:rFonts w:eastAsia="Times New Roman" w:cs="Arial"/>
          <w:lang w:eastAsia="en-GB"/>
        </w:rPr>
      </w:pPr>
      <w:r w:rsidRPr="007E36EC">
        <w:rPr>
          <w:rFonts w:eastAsia="Times New Roman" w:cs="Arial"/>
          <w:lang w:eastAsia="en-GB"/>
        </w:rPr>
        <w:t xml:space="preserve">Adult Services - </w:t>
      </w:r>
      <w:r w:rsidRPr="007E36EC">
        <w:rPr>
          <w:rFonts w:eastAsia="Times New Roman" w:cs="Arial"/>
          <w:b/>
          <w:lang w:eastAsia="en-GB"/>
        </w:rPr>
        <w:t>£15.87</w:t>
      </w:r>
      <w:r>
        <w:rPr>
          <w:rFonts w:eastAsia="Times New Roman" w:cs="Arial"/>
          <w:b/>
          <w:lang w:eastAsia="en-GB"/>
        </w:rPr>
        <w:t>0</w:t>
      </w:r>
      <w:r w:rsidRPr="007E36EC">
        <w:rPr>
          <w:rFonts w:eastAsia="Times New Roman" w:cs="Arial"/>
          <w:b/>
          <w:lang w:eastAsia="en-GB"/>
        </w:rPr>
        <w:t xml:space="preserve">m underspend </w:t>
      </w:r>
      <w:r w:rsidRPr="007E36EC">
        <w:rPr>
          <w:rFonts w:eastAsia="Times New Roman" w:cs="Arial"/>
          <w:lang w:eastAsia="en-GB"/>
        </w:rPr>
        <w:t>primarily</w:t>
      </w:r>
      <w:r w:rsidRPr="007E36EC">
        <w:rPr>
          <w:rFonts w:eastAsia="Times New Roman" w:cs="Arial"/>
          <w:b/>
          <w:lang w:eastAsia="en-GB"/>
        </w:rPr>
        <w:t xml:space="preserve"> </w:t>
      </w:r>
      <w:proofErr w:type="gramStart"/>
      <w:r w:rsidRPr="007E36EC">
        <w:rPr>
          <w:rFonts w:eastAsia="Times New Roman" w:cs="Arial"/>
          <w:lang w:eastAsia="en-GB"/>
        </w:rPr>
        <w:t>as</w:t>
      </w:r>
      <w:r>
        <w:rPr>
          <w:rFonts w:eastAsia="Times New Roman" w:cs="Arial"/>
          <w:lang w:eastAsia="en-GB"/>
        </w:rPr>
        <w:t xml:space="preserve"> a result</w:t>
      </w:r>
      <w:r w:rsidRPr="007E36EC">
        <w:rPr>
          <w:rFonts w:eastAsia="Times New Roman" w:cs="Arial"/>
          <w:lang w:eastAsia="en-GB"/>
        </w:rPr>
        <w:t xml:space="preserve"> of</w:t>
      </w:r>
      <w:proofErr w:type="gramEnd"/>
      <w:r w:rsidRPr="007E36EC">
        <w:rPr>
          <w:rFonts w:eastAsia="Times New Roman" w:cs="Arial"/>
          <w:lang w:eastAsia="en-GB"/>
        </w:rPr>
        <w:t xml:space="preserve"> reduced demand in some service areas and increased income. </w:t>
      </w:r>
    </w:p>
    <w:p w14:paraId="735FD4C3" w14:textId="77777777" w:rsidR="00D10794" w:rsidRPr="007E36EC" w:rsidRDefault="00D10794" w:rsidP="00D10794">
      <w:pPr>
        <w:rPr>
          <w:rFonts w:eastAsia="Times New Roman" w:cs="Arial"/>
          <w:lang w:eastAsia="en-GB"/>
        </w:rPr>
      </w:pPr>
    </w:p>
    <w:p w14:paraId="3E7220B8" w14:textId="77777777" w:rsidR="00D10794" w:rsidRPr="007E36EC" w:rsidRDefault="00D10794" w:rsidP="00D10794">
      <w:pPr>
        <w:pStyle w:val="ListParagraph"/>
        <w:numPr>
          <w:ilvl w:val="0"/>
          <w:numId w:val="27"/>
        </w:numPr>
        <w:tabs>
          <w:tab w:val="left" w:pos="851"/>
          <w:tab w:val="left" w:pos="1418"/>
        </w:tabs>
        <w:spacing w:after="0"/>
        <w:rPr>
          <w:rFonts w:eastAsia="Times New Roman" w:cs="Arial"/>
          <w:lang w:eastAsia="en-GB"/>
        </w:rPr>
      </w:pPr>
      <w:r w:rsidRPr="007E36EC">
        <w:rPr>
          <w:rFonts w:eastAsia="Times New Roman" w:cs="Arial"/>
          <w:lang w:eastAsia="en-GB"/>
        </w:rPr>
        <w:t xml:space="preserve">Highways and Transport - </w:t>
      </w:r>
      <w:r w:rsidRPr="007E36EC">
        <w:rPr>
          <w:rFonts w:eastAsia="Times New Roman" w:cs="Arial"/>
          <w:b/>
          <w:bCs/>
          <w:lang w:eastAsia="en-GB"/>
        </w:rPr>
        <w:t xml:space="preserve">£10.457m overspend </w:t>
      </w:r>
      <w:r w:rsidRPr="007E36EC">
        <w:rPr>
          <w:rFonts w:eastAsia="Times New Roman" w:cs="Arial"/>
          <w:lang w:eastAsia="en-GB"/>
        </w:rPr>
        <w:t>due to income pressures, lower than budgeted works</w:t>
      </w:r>
      <w:r>
        <w:rPr>
          <w:rFonts w:eastAsia="Times New Roman" w:cs="Arial"/>
          <w:lang w:eastAsia="en-GB"/>
        </w:rPr>
        <w:t xml:space="preserve"> (resulting in reduced income from capital works whilst still incurring some fixed costs)</w:t>
      </w:r>
      <w:r w:rsidRPr="007E36EC">
        <w:rPr>
          <w:rFonts w:eastAsia="Times New Roman" w:cs="Arial"/>
          <w:lang w:eastAsia="en-GB"/>
        </w:rPr>
        <w:t xml:space="preserve"> and delayed savings - </w:t>
      </w:r>
      <w:proofErr w:type="gramStart"/>
      <w:r w:rsidRPr="007E36EC">
        <w:rPr>
          <w:rFonts w:eastAsia="Times New Roman" w:cs="Arial"/>
          <w:lang w:eastAsia="en-GB"/>
        </w:rPr>
        <w:t>as a result of</w:t>
      </w:r>
      <w:proofErr w:type="gramEnd"/>
      <w:r w:rsidRPr="007E36EC">
        <w:rPr>
          <w:rFonts w:eastAsia="Times New Roman" w:cs="Arial"/>
          <w:lang w:eastAsia="en-GB"/>
        </w:rPr>
        <w:t xml:space="preserve"> the ongoing pandemic. </w:t>
      </w:r>
    </w:p>
    <w:p w14:paraId="3B5E11A1" w14:textId="77777777" w:rsidR="00D10794" w:rsidRPr="007E36EC" w:rsidRDefault="00D10794" w:rsidP="00D10794">
      <w:pPr>
        <w:pStyle w:val="ListParagraph"/>
        <w:tabs>
          <w:tab w:val="left" w:pos="851"/>
          <w:tab w:val="left" w:pos="1418"/>
        </w:tabs>
        <w:spacing w:after="0"/>
        <w:rPr>
          <w:rFonts w:eastAsia="Times New Roman" w:cs="Arial"/>
          <w:lang w:eastAsia="en-GB"/>
        </w:rPr>
      </w:pPr>
    </w:p>
    <w:p w14:paraId="22D71EB6" w14:textId="77777777" w:rsidR="00D10794" w:rsidRPr="007E36EC" w:rsidRDefault="00D10794" w:rsidP="00D10794">
      <w:pPr>
        <w:pStyle w:val="ListParagraph"/>
        <w:numPr>
          <w:ilvl w:val="0"/>
          <w:numId w:val="27"/>
        </w:numPr>
        <w:tabs>
          <w:tab w:val="left" w:pos="851"/>
          <w:tab w:val="left" w:pos="1418"/>
        </w:tabs>
        <w:spacing w:after="0"/>
        <w:rPr>
          <w:rFonts w:eastAsia="Times New Roman" w:cs="Arial"/>
          <w:b/>
          <w:lang w:eastAsia="en-GB"/>
        </w:rPr>
      </w:pPr>
      <w:r w:rsidRPr="007E36EC">
        <w:rPr>
          <w:rFonts w:eastAsia="Times New Roman" w:cs="Arial"/>
          <w:lang w:eastAsia="en-GB"/>
        </w:rPr>
        <w:t xml:space="preserve">Strategy and Performance – </w:t>
      </w:r>
      <w:r w:rsidRPr="007E36EC">
        <w:rPr>
          <w:rFonts w:eastAsia="Times New Roman" w:cs="Arial"/>
          <w:b/>
          <w:lang w:eastAsia="en-GB"/>
        </w:rPr>
        <w:t>£2.</w:t>
      </w:r>
      <w:r>
        <w:rPr>
          <w:rFonts w:eastAsia="Times New Roman" w:cs="Arial"/>
          <w:b/>
          <w:lang w:eastAsia="en-GB"/>
        </w:rPr>
        <w:t>756</w:t>
      </w:r>
      <w:r w:rsidRPr="007E36EC">
        <w:rPr>
          <w:rFonts w:eastAsia="Times New Roman" w:cs="Arial"/>
          <w:b/>
          <w:lang w:eastAsia="en-GB"/>
        </w:rPr>
        <w:t>m overspend</w:t>
      </w:r>
      <w:r w:rsidRPr="007E36EC">
        <w:rPr>
          <w:rFonts w:eastAsia="Times New Roman" w:cs="Arial"/>
          <w:lang w:eastAsia="en-GB"/>
        </w:rPr>
        <w:t xml:space="preserve"> due to reduced income in the school catering service.</w:t>
      </w:r>
    </w:p>
    <w:p w14:paraId="31C20210" w14:textId="77777777" w:rsidR="00D10794" w:rsidRPr="007E36EC" w:rsidRDefault="00D10794" w:rsidP="00D10794">
      <w:pPr>
        <w:tabs>
          <w:tab w:val="left" w:pos="851"/>
          <w:tab w:val="left" w:pos="1418"/>
        </w:tabs>
        <w:spacing w:after="0"/>
        <w:rPr>
          <w:rFonts w:eastAsia="Times New Roman" w:cs="Arial"/>
          <w:b/>
          <w:lang w:eastAsia="en-GB"/>
        </w:rPr>
      </w:pPr>
    </w:p>
    <w:p w14:paraId="7AD5E066" w14:textId="77777777" w:rsidR="00D10794" w:rsidRPr="007E36EC" w:rsidRDefault="00D10794" w:rsidP="00D10794">
      <w:pPr>
        <w:pStyle w:val="ListParagraph"/>
        <w:numPr>
          <w:ilvl w:val="0"/>
          <w:numId w:val="27"/>
        </w:numPr>
        <w:tabs>
          <w:tab w:val="left" w:pos="851"/>
          <w:tab w:val="left" w:pos="1418"/>
        </w:tabs>
        <w:spacing w:after="0"/>
        <w:rPr>
          <w:rFonts w:eastAsia="Times New Roman" w:cs="Arial"/>
          <w:lang w:eastAsia="en-GB"/>
        </w:rPr>
      </w:pPr>
      <w:r w:rsidRPr="007E36EC">
        <w:rPr>
          <w:rFonts w:eastAsia="Times New Roman" w:cs="Arial"/>
          <w:lang w:eastAsia="en-GB"/>
        </w:rPr>
        <w:t xml:space="preserve">Treasury Management - </w:t>
      </w:r>
      <w:r w:rsidRPr="007E36EC">
        <w:rPr>
          <w:rFonts w:eastAsia="Times New Roman" w:cs="Arial"/>
          <w:b/>
          <w:lang w:eastAsia="en-GB"/>
        </w:rPr>
        <w:t>£2</w:t>
      </w:r>
      <w:r>
        <w:rPr>
          <w:rFonts w:eastAsia="Times New Roman" w:cs="Arial"/>
          <w:b/>
          <w:lang w:eastAsia="en-GB"/>
        </w:rPr>
        <w:t>4.602</w:t>
      </w:r>
      <w:r w:rsidRPr="007E36EC">
        <w:rPr>
          <w:rFonts w:eastAsia="Times New Roman" w:cs="Arial"/>
          <w:b/>
          <w:lang w:eastAsia="en-GB"/>
        </w:rPr>
        <w:t>m underspend</w:t>
      </w:r>
      <w:r w:rsidRPr="007E36EC">
        <w:rPr>
          <w:rFonts w:eastAsia="Times New Roman" w:cs="Arial"/>
          <w:lang w:eastAsia="en-GB"/>
        </w:rPr>
        <w:t xml:space="preserve"> principally due to the sale of gilts and bonds. </w:t>
      </w:r>
    </w:p>
    <w:p w14:paraId="7A0E98EB" w14:textId="77777777" w:rsidR="00D10794" w:rsidRPr="007E36EC" w:rsidRDefault="00D10794" w:rsidP="00D10794">
      <w:pPr>
        <w:tabs>
          <w:tab w:val="left" w:pos="851"/>
          <w:tab w:val="left" w:pos="1418"/>
        </w:tabs>
        <w:spacing w:after="0"/>
        <w:rPr>
          <w:rFonts w:eastAsia="Times New Roman" w:cs="Arial"/>
          <w:lang w:eastAsia="en-GB"/>
        </w:rPr>
      </w:pPr>
    </w:p>
    <w:p w14:paraId="1D0D76EB" w14:textId="77777777" w:rsidR="00D10794" w:rsidRPr="007E36EC" w:rsidRDefault="00D10794" w:rsidP="00D10794">
      <w:pPr>
        <w:pStyle w:val="ListParagraph"/>
        <w:numPr>
          <w:ilvl w:val="0"/>
          <w:numId w:val="27"/>
        </w:numPr>
        <w:tabs>
          <w:tab w:val="left" w:pos="851"/>
          <w:tab w:val="left" w:pos="1418"/>
        </w:tabs>
        <w:spacing w:after="0"/>
        <w:rPr>
          <w:rFonts w:eastAsia="Times New Roman" w:cs="Arial"/>
          <w:lang w:eastAsia="en-GB"/>
        </w:rPr>
      </w:pPr>
      <w:r w:rsidRPr="007E36EC">
        <w:rPr>
          <w:rFonts w:eastAsia="Times New Roman" w:cs="Arial"/>
          <w:lang w:eastAsia="en-GB"/>
        </w:rPr>
        <w:t xml:space="preserve">Corporate Budget (Funding and Grants) - </w:t>
      </w:r>
      <w:r w:rsidRPr="007E36EC">
        <w:rPr>
          <w:rFonts w:eastAsia="Times New Roman" w:cs="Arial"/>
          <w:b/>
          <w:lang w:eastAsia="en-GB"/>
        </w:rPr>
        <w:t>£</w:t>
      </w:r>
      <w:r>
        <w:rPr>
          <w:rFonts w:eastAsia="Times New Roman" w:cs="Arial"/>
          <w:b/>
          <w:lang w:eastAsia="en-GB"/>
        </w:rPr>
        <w:t>9.202</w:t>
      </w:r>
      <w:r w:rsidRPr="007E36EC">
        <w:rPr>
          <w:rFonts w:eastAsia="Times New Roman" w:cs="Arial"/>
          <w:b/>
          <w:lang w:eastAsia="en-GB"/>
        </w:rPr>
        <w:t xml:space="preserve">m </w:t>
      </w:r>
      <w:r>
        <w:rPr>
          <w:rFonts w:eastAsia="Times New Roman" w:cs="Arial"/>
          <w:b/>
          <w:lang w:eastAsia="en-GB"/>
        </w:rPr>
        <w:t>ove</w:t>
      </w:r>
      <w:r w:rsidRPr="007E36EC">
        <w:rPr>
          <w:rFonts w:eastAsia="Times New Roman" w:cs="Arial"/>
          <w:b/>
          <w:lang w:eastAsia="en-GB"/>
        </w:rPr>
        <w:t>rspend</w:t>
      </w:r>
      <w:r w:rsidRPr="007E36EC">
        <w:rPr>
          <w:rFonts w:eastAsia="Times New Roman" w:cs="Arial"/>
          <w:lang w:eastAsia="en-GB"/>
        </w:rPr>
        <w:t xml:space="preserve"> </w:t>
      </w:r>
      <w:r>
        <w:rPr>
          <w:rFonts w:eastAsia="Times New Roman" w:cs="Arial"/>
          <w:lang w:eastAsia="en-GB"/>
        </w:rPr>
        <w:t xml:space="preserve">representing an additional contribution to the insurance provision and a contribution to the business rates volatility reserve. </w:t>
      </w:r>
    </w:p>
    <w:p w14:paraId="2897DF7A" w14:textId="77777777" w:rsidR="00D10794" w:rsidRPr="007E36EC" w:rsidRDefault="00D10794" w:rsidP="00D10794">
      <w:pPr>
        <w:tabs>
          <w:tab w:val="left" w:pos="851"/>
          <w:tab w:val="left" w:pos="1418"/>
        </w:tabs>
        <w:spacing w:after="0"/>
        <w:rPr>
          <w:rFonts w:eastAsia="Times New Roman" w:cs="Arial"/>
          <w:b/>
          <w:lang w:eastAsia="en-GB"/>
        </w:rPr>
      </w:pPr>
    </w:p>
    <w:p w14:paraId="65651772" w14:textId="77777777" w:rsidR="00D10794" w:rsidRPr="00B61F6C" w:rsidRDefault="00D10794" w:rsidP="00D10794">
      <w:pPr>
        <w:tabs>
          <w:tab w:val="left" w:pos="851"/>
          <w:tab w:val="left" w:pos="1418"/>
        </w:tabs>
        <w:spacing w:after="0"/>
        <w:rPr>
          <w:rFonts w:eastAsia="Times New Roman" w:cs="Arial"/>
          <w:i/>
          <w:u w:val="single"/>
          <w:lang w:eastAsia="en-GB"/>
        </w:rPr>
      </w:pPr>
      <w:r w:rsidRPr="007E36EC">
        <w:rPr>
          <w:rFonts w:eastAsia="Times New Roman" w:cs="Arial"/>
          <w:i/>
          <w:u w:val="single"/>
          <w:lang w:eastAsia="en-GB"/>
        </w:rPr>
        <w:t>2020/21 Revenue Reserves</w:t>
      </w:r>
    </w:p>
    <w:p w14:paraId="72415F3B" w14:textId="77777777" w:rsidR="00D10794" w:rsidRPr="00B61F6C" w:rsidRDefault="00D10794" w:rsidP="00D10794">
      <w:pPr>
        <w:tabs>
          <w:tab w:val="left" w:pos="851"/>
          <w:tab w:val="left" w:pos="1418"/>
        </w:tabs>
        <w:spacing w:after="0"/>
        <w:rPr>
          <w:rFonts w:eastAsia="Times New Roman" w:cs="Arial"/>
          <w:i/>
          <w:u w:val="single"/>
          <w:lang w:eastAsia="en-GB"/>
        </w:rPr>
      </w:pPr>
    </w:p>
    <w:p w14:paraId="50EF4D13" w14:textId="77777777" w:rsidR="00D10794" w:rsidRPr="00C529BF" w:rsidRDefault="00D10794" w:rsidP="00D10794">
      <w:pPr>
        <w:tabs>
          <w:tab w:val="left" w:pos="851"/>
          <w:tab w:val="left" w:pos="1418"/>
        </w:tabs>
        <w:spacing w:after="0"/>
        <w:rPr>
          <w:rFonts w:eastAsia="Times New Roman" w:cs="Arial"/>
          <w:highlight w:val="yellow"/>
          <w:lang w:eastAsia="en-GB"/>
        </w:rPr>
      </w:pPr>
      <w:r>
        <w:rPr>
          <w:rFonts w:eastAsia="Times New Roman" w:cs="Arial"/>
          <w:lang w:eastAsia="en-GB"/>
        </w:rPr>
        <w:t>T</w:t>
      </w:r>
      <w:r w:rsidRPr="00B61F6C">
        <w:rPr>
          <w:rFonts w:eastAsia="Times New Roman" w:cs="Arial"/>
          <w:lang w:eastAsia="en-GB"/>
        </w:rPr>
        <w:t xml:space="preserve">he budget report to Full Council in February 2021 indicated that there would be sufficient funds remaining in reserves to support the budget beyond the MTFS period ending 2023/24. </w:t>
      </w:r>
    </w:p>
    <w:p w14:paraId="076CA873"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6E86EF62" w14:textId="26572AFD" w:rsidR="00D10794" w:rsidRDefault="00D10794" w:rsidP="00D10794">
      <w:pPr>
        <w:tabs>
          <w:tab w:val="left" w:pos="851"/>
          <w:tab w:val="left" w:pos="1418"/>
        </w:tabs>
        <w:spacing w:after="0"/>
        <w:rPr>
          <w:rFonts w:eastAsia="Times New Roman" w:cs="Arial"/>
          <w:lang w:eastAsia="en-GB"/>
        </w:rPr>
      </w:pPr>
      <w:r w:rsidRPr="00C6182A">
        <w:rPr>
          <w:rFonts w:eastAsia="Times New Roman" w:cs="Arial"/>
          <w:lang w:eastAsia="en-GB"/>
        </w:rPr>
        <w:t>At the end of the financial year, a combination of the revenue underspend and  reduced expenditure from reserves has led to an improved position with £201.</w:t>
      </w:r>
      <w:r>
        <w:rPr>
          <w:rFonts w:eastAsia="Times New Roman" w:cs="Arial"/>
          <w:lang w:eastAsia="en-GB"/>
        </w:rPr>
        <w:t>755</w:t>
      </w:r>
      <w:r w:rsidRPr="00C6182A">
        <w:rPr>
          <w:rFonts w:eastAsia="Times New Roman" w:cs="Arial"/>
          <w:lang w:eastAsia="en-GB"/>
        </w:rPr>
        <w:t>m being available in the transitional reserve at the end of 2020/21 for future yea</w:t>
      </w:r>
      <w:r w:rsidRPr="00CC071C">
        <w:rPr>
          <w:rFonts w:eastAsia="Times New Roman" w:cs="Arial"/>
          <w:lang w:eastAsia="en-GB"/>
        </w:rPr>
        <w:t>rs; a positive variance of £42.</w:t>
      </w:r>
      <w:r>
        <w:rPr>
          <w:rFonts w:eastAsia="Times New Roman" w:cs="Arial"/>
          <w:lang w:eastAsia="en-GB"/>
        </w:rPr>
        <w:t>355</w:t>
      </w:r>
      <w:r w:rsidRPr="00CC071C">
        <w:rPr>
          <w:rFonts w:eastAsia="Times New Roman" w:cs="Arial"/>
          <w:lang w:eastAsia="en-GB"/>
        </w:rPr>
        <w:t xml:space="preserve">m, although </w:t>
      </w:r>
      <w:r w:rsidR="008B7F32">
        <w:rPr>
          <w:rFonts w:eastAsia="Times New Roman" w:cs="Arial"/>
          <w:lang w:eastAsia="en-GB"/>
        </w:rPr>
        <w:t>a significant proportion of the increase</w:t>
      </w:r>
      <w:r w:rsidRPr="00CC071C">
        <w:rPr>
          <w:rFonts w:eastAsia="Times New Roman" w:cs="Arial"/>
          <w:lang w:eastAsia="en-GB"/>
        </w:rPr>
        <w:t xml:space="preserve"> </w:t>
      </w:r>
      <w:r w:rsidR="008B7F32">
        <w:rPr>
          <w:rFonts w:eastAsia="Times New Roman" w:cs="Arial"/>
          <w:lang w:eastAsia="en-GB"/>
        </w:rPr>
        <w:t>is</w:t>
      </w:r>
      <w:r w:rsidRPr="00CC071C">
        <w:rPr>
          <w:rFonts w:eastAsia="Times New Roman" w:cs="Arial"/>
          <w:lang w:eastAsia="en-GB"/>
        </w:rPr>
        <w:t xml:space="preserve"> </w:t>
      </w:r>
      <w:r w:rsidR="0044300E">
        <w:rPr>
          <w:rFonts w:eastAsia="Times New Roman" w:cs="Arial"/>
          <w:lang w:eastAsia="en-GB"/>
        </w:rPr>
        <w:t xml:space="preserve">supporting </w:t>
      </w:r>
      <w:r w:rsidRPr="00CC071C">
        <w:rPr>
          <w:rFonts w:eastAsia="Times New Roman" w:cs="Arial"/>
          <w:lang w:eastAsia="en-GB"/>
        </w:rPr>
        <w:t xml:space="preserve"> future year commitments. </w:t>
      </w:r>
      <w:r>
        <w:rPr>
          <w:rFonts w:eastAsia="Times New Roman" w:cs="Arial"/>
          <w:lang w:eastAsia="en-GB"/>
        </w:rPr>
        <w:t xml:space="preserve"> With </w:t>
      </w:r>
      <w:r w:rsidRPr="00CC071C">
        <w:rPr>
          <w:rFonts w:eastAsia="Times New Roman" w:cs="Arial"/>
          <w:lang w:eastAsia="en-GB"/>
        </w:rPr>
        <w:t>commitments of £3</w:t>
      </w:r>
      <w:r>
        <w:rPr>
          <w:rFonts w:eastAsia="Times New Roman" w:cs="Arial"/>
          <w:lang w:eastAsia="en-GB"/>
        </w:rPr>
        <w:t>3.130</w:t>
      </w:r>
      <w:r w:rsidRPr="00CC071C">
        <w:rPr>
          <w:rFonts w:eastAsia="Times New Roman" w:cs="Arial"/>
          <w:lang w:eastAsia="en-GB"/>
        </w:rPr>
        <w:t>m forecast over the next 3 years</w:t>
      </w:r>
      <w:r>
        <w:rPr>
          <w:rFonts w:eastAsia="Times New Roman" w:cs="Arial"/>
          <w:lang w:eastAsia="en-GB"/>
        </w:rPr>
        <w:t xml:space="preserve">, </w:t>
      </w:r>
      <w:r w:rsidRPr="00CC071C">
        <w:rPr>
          <w:rFonts w:eastAsia="Times New Roman" w:cs="Arial"/>
          <w:lang w:eastAsia="en-GB"/>
        </w:rPr>
        <w:t>£16</w:t>
      </w:r>
      <w:r>
        <w:rPr>
          <w:rFonts w:eastAsia="Times New Roman" w:cs="Arial"/>
          <w:lang w:eastAsia="en-GB"/>
        </w:rPr>
        <w:t>8.625</w:t>
      </w:r>
      <w:r w:rsidRPr="00CC071C">
        <w:rPr>
          <w:rFonts w:eastAsia="Times New Roman" w:cs="Arial"/>
          <w:lang w:eastAsia="en-GB"/>
        </w:rPr>
        <w:t xml:space="preserve">m </w:t>
      </w:r>
      <w:r>
        <w:rPr>
          <w:rFonts w:eastAsia="Times New Roman" w:cs="Arial"/>
          <w:lang w:eastAsia="en-GB"/>
        </w:rPr>
        <w:t xml:space="preserve">is </w:t>
      </w:r>
      <w:r w:rsidRPr="00CC071C">
        <w:rPr>
          <w:rFonts w:eastAsia="Times New Roman" w:cs="Arial"/>
          <w:lang w:eastAsia="en-GB"/>
        </w:rPr>
        <w:t xml:space="preserve">available to support the financial gap in 2021/22 and beyond. </w:t>
      </w:r>
    </w:p>
    <w:p w14:paraId="499A77DD" w14:textId="77777777" w:rsidR="00D10794" w:rsidRDefault="00D10794" w:rsidP="00D10794">
      <w:pPr>
        <w:tabs>
          <w:tab w:val="left" w:pos="851"/>
          <w:tab w:val="left" w:pos="1418"/>
        </w:tabs>
        <w:spacing w:after="0"/>
        <w:rPr>
          <w:rFonts w:eastAsia="Times New Roman" w:cs="Arial"/>
          <w:lang w:eastAsia="en-GB"/>
        </w:rPr>
      </w:pPr>
    </w:p>
    <w:p w14:paraId="45F53D77" w14:textId="02FFAE91" w:rsidR="00D10794" w:rsidRPr="00C529BF" w:rsidRDefault="00D10794" w:rsidP="00D10794">
      <w:pPr>
        <w:tabs>
          <w:tab w:val="left" w:pos="851"/>
          <w:tab w:val="left" w:pos="1418"/>
        </w:tabs>
        <w:spacing w:after="0"/>
        <w:rPr>
          <w:rFonts w:eastAsia="Times New Roman" w:cs="Arial"/>
          <w:highlight w:val="yellow"/>
          <w:lang w:eastAsia="en-GB"/>
        </w:rPr>
      </w:pPr>
      <w:r>
        <w:rPr>
          <w:rFonts w:eastAsia="Times New Roman" w:cs="Arial"/>
          <w:lang w:eastAsia="en-GB"/>
        </w:rPr>
        <w:t xml:space="preserve">While the council's reserve position </w:t>
      </w:r>
      <w:proofErr w:type="gramStart"/>
      <w:r>
        <w:rPr>
          <w:rFonts w:eastAsia="Times New Roman" w:cs="Arial"/>
          <w:lang w:eastAsia="en-GB"/>
        </w:rPr>
        <w:t>remains</w:t>
      </w:r>
      <w:proofErr w:type="gramEnd"/>
      <w:r>
        <w:rPr>
          <w:rFonts w:eastAsia="Times New Roman" w:cs="Arial"/>
          <w:lang w:eastAsia="en-GB"/>
        </w:rPr>
        <w:t xml:space="preserve"> healthy there is clearly significant uncertainty around the ongoing impact and legacy of the pandemic</w:t>
      </w:r>
      <w:r w:rsidR="00DE3A28">
        <w:rPr>
          <w:rFonts w:eastAsia="Times New Roman" w:cs="Arial"/>
          <w:lang w:eastAsia="en-GB"/>
        </w:rPr>
        <w:t xml:space="preserve"> including the </w:t>
      </w:r>
      <w:r w:rsidR="00DE3A28">
        <w:rPr>
          <w:rFonts w:eastAsia="Times New Roman" w:cs="Arial"/>
          <w:lang w:eastAsia="en-GB"/>
        </w:rPr>
        <w:lastRenderedPageBreak/>
        <w:t>anticipated increased future demand for a number of services such as social care</w:t>
      </w:r>
      <w:r>
        <w:rPr>
          <w:rFonts w:eastAsia="Times New Roman" w:cs="Arial"/>
          <w:lang w:eastAsia="en-GB"/>
        </w:rPr>
        <w:t xml:space="preserve">. </w:t>
      </w:r>
      <w:r w:rsidRPr="00CC071C">
        <w:rPr>
          <w:rFonts w:eastAsia="Times New Roman" w:cs="Arial"/>
          <w:lang w:eastAsia="en-GB"/>
        </w:rPr>
        <w:t xml:space="preserve">Further uncertainty remains around the likely outcome of the Fair Funding Review and Business Baseline Reset which have been </w:t>
      </w:r>
      <w:r w:rsidR="008B7F32">
        <w:rPr>
          <w:rFonts w:eastAsia="Times New Roman" w:cs="Arial"/>
          <w:lang w:eastAsia="en-GB"/>
        </w:rPr>
        <w:t xml:space="preserve">further </w:t>
      </w:r>
      <w:r w:rsidRPr="00CC071C">
        <w:rPr>
          <w:rFonts w:eastAsia="Times New Roman" w:cs="Arial"/>
          <w:lang w:eastAsia="en-GB"/>
        </w:rPr>
        <w:t xml:space="preserve">delayed until </w:t>
      </w:r>
      <w:r>
        <w:rPr>
          <w:rFonts w:eastAsia="Times New Roman" w:cs="Arial"/>
          <w:lang w:eastAsia="en-GB"/>
        </w:rPr>
        <w:t xml:space="preserve">at least </w:t>
      </w:r>
      <w:r w:rsidRPr="00CC071C">
        <w:rPr>
          <w:rFonts w:eastAsia="Times New Roman" w:cs="Arial"/>
          <w:lang w:eastAsia="en-GB"/>
        </w:rPr>
        <w:t>2022/23</w:t>
      </w:r>
      <w:r w:rsidR="00DE3A28">
        <w:rPr>
          <w:rFonts w:eastAsia="Times New Roman" w:cs="Arial"/>
          <w:lang w:eastAsia="en-GB"/>
        </w:rPr>
        <w:t>, and the current absence of a financial settlement for local government past 2021/22</w:t>
      </w:r>
      <w:r w:rsidRPr="00CC071C">
        <w:rPr>
          <w:rFonts w:eastAsia="Times New Roman" w:cs="Arial"/>
          <w:lang w:eastAsia="en-GB"/>
        </w:rPr>
        <w:t>.</w:t>
      </w:r>
    </w:p>
    <w:p w14:paraId="6C43D273" w14:textId="77777777" w:rsidR="00D10794" w:rsidRPr="00C529BF" w:rsidRDefault="00D10794" w:rsidP="00D10794">
      <w:pPr>
        <w:tabs>
          <w:tab w:val="left" w:pos="851"/>
          <w:tab w:val="left" w:pos="1418"/>
        </w:tabs>
        <w:spacing w:after="0"/>
        <w:rPr>
          <w:rFonts w:eastAsia="Times New Roman" w:cs="Arial"/>
          <w:i/>
          <w:highlight w:val="yellow"/>
          <w:u w:val="single"/>
          <w:lang w:eastAsia="en-GB"/>
        </w:rPr>
      </w:pPr>
    </w:p>
    <w:p w14:paraId="00ED65EA" w14:textId="77777777" w:rsidR="00D10794" w:rsidRPr="005125BC" w:rsidRDefault="00D10794" w:rsidP="00D10794">
      <w:pPr>
        <w:tabs>
          <w:tab w:val="left" w:pos="851"/>
          <w:tab w:val="left" w:pos="1418"/>
        </w:tabs>
        <w:spacing w:after="0"/>
        <w:rPr>
          <w:rFonts w:eastAsia="Times New Roman" w:cs="Arial"/>
          <w:i/>
          <w:u w:val="single"/>
          <w:lang w:eastAsia="en-GB"/>
        </w:rPr>
      </w:pPr>
      <w:r w:rsidRPr="005125BC">
        <w:rPr>
          <w:rFonts w:eastAsia="Times New Roman" w:cs="Arial"/>
          <w:i/>
          <w:u w:val="single"/>
          <w:lang w:eastAsia="en-GB"/>
        </w:rPr>
        <w:t>2020/21 Capital Programme</w:t>
      </w:r>
    </w:p>
    <w:p w14:paraId="2E6B7749" w14:textId="77777777" w:rsidR="00D10794" w:rsidRPr="00C529BF" w:rsidRDefault="00D10794" w:rsidP="00D10794">
      <w:pPr>
        <w:tabs>
          <w:tab w:val="left" w:pos="851"/>
          <w:tab w:val="left" w:pos="1418"/>
        </w:tabs>
        <w:spacing w:after="0"/>
        <w:rPr>
          <w:rFonts w:eastAsia="Times New Roman" w:cs="Arial"/>
          <w:i/>
          <w:highlight w:val="yellow"/>
          <w:u w:val="single"/>
          <w:lang w:eastAsia="en-GB"/>
        </w:rPr>
      </w:pPr>
    </w:p>
    <w:p w14:paraId="6BCBE49D" w14:textId="77777777" w:rsidR="00D10794" w:rsidRPr="005125BC" w:rsidRDefault="00D10794" w:rsidP="00D10794">
      <w:pPr>
        <w:tabs>
          <w:tab w:val="left" w:pos="851"/>
          <w:tab w:val="left" w:pos="1418"/>
        </w:tabs>
        <w:spacing w:after="0"/>
        <w:rPr>
          <w:rFonts w:eastAsia="Times New Roman" w:cs="Arial"/>
          <w:lang w:eastAsia="en-GB"/>
        </w:rPr>
      </w:pPr>
      <w:r w:rsidRPr="005125BC">
        <w:rPr>
          <w:rFonts w:eastAsia="Times New Roman" w:cs="Arial"/>
          <w:lang w:eastAsia="en-GB"/>
        </w:rPr>
        <w:t xml:space="preserve">The capital programme for 2020/21 </w:t>
      </w:r>
      <w:r>
        <w:rPr>
          <w:rFonts w:eastAsia="Times New Roman" w:cs="Arial"/>
          <w:lang w:eastAsia="en-GB"/>
        </w:rPr>
        <w:t xml:space="preserve">totalled </w:t>
      </w:r>
      <w:r w:rsidRPr="005125BC">
        <w:rPr>
          <w:rFonts w:eastAsia="Times New Roman" w:cs="Arial"/>
          <w:lang w:eastAsia="en-GB"/>
        </w:rPr>
        <w:t xml:space="preserve">£160.420m with the programme delivering an outturn position of £127.810m, resulting in an underspend against budget of £32.610m. </w:t>
      </w:r>
    </w:p>
    <w:p w14:paraId="080E501D" w14:textId="77777777" w:rsidR="00D10794" w:rsidRPr="005125BC" w:rsidRDefault="00D10794" w:rsidP="00D10794">
      <w:pPr>
        <w:tabs>
          <w:tab w:val="left" w:pos="851"/>
          <w:tab w:val="left" w:pos="1418"/>
        </w:tabs>
        <w:spacing w:after="0"/>
        <w:rPr>
          <w:rFonts w:eastAsia="Times New Roman" w:cs="Arial"/>
          <w:lang w:eastAsia="en-GB"/>
        </w:rPr>
      </w:pPr>
    </w:p>
    <w:p w14:paraId="28242827" w14:textId="77777777" w:rsidR="00D10794" w:rsidRPr="005125BC" w:rsidRDefault="00D10794" w:rsidP="00D10794">
      <w:pPr>
        <w:tabs>
          <w:tab w:val="left" w:pos="851"/>
          <w:tab w:val="left" w:pos="1418"/>
        </w:tabs>
        <w:spacing w:after="0"/>
        <w:rPr>
          <w:rFonts w:eastAsia="Times New Roman" w:cs="Arial"/>
          <w:lang w:eastAsia="en-GB"/>
        </w:rPr>
      </w:pPr>
      <w:r w:rsidRPr="005125BC">
        <w:rPr>
          <w:rFonts w:eastAsia="Times New Roman" w:cs="Arial"/>
          <w:lang w:eastAsia="en-GB"/>
        </w:rPr>
        <w:t>The variance is due to the following:</w:t>
      </w:r>
    </w:p>
    <w:p w14:paraId="0E251BD0" w14:textId="77777777" w:rsidR="00D10794" w:rsidRPr="005125BC" w:rsidRDefault="00D10794" w:rsidP="00D10794">
      <w:pPr>
        <w:pStyle w:val="ListParagraph"/>
        <w:tabs>
          <w:tab w:val="left" w:pos="851"/>
          <w:tab w:val="left" w:pos="1418"/>
        </w:tabs>
        <w:spacing w:after="0"/>
        <w:ind w:left="780"/>
        <w:rPr>
          <w:rFonts w:eastAsia="Times New Roman" w:cs="Arial"/>
          <w:lang w:eastAsia="en-GB"/>
        </w:rPr>
      </w:pPr>
    </w:p>
    <w:p w14:paraId="40A8C484" w14:textId="77777777" w:rsidR="00D10794" w:rsidRPr="005125BC" w:rsidRDefault="00D10794" w:rsidP="00D10794">
      <w:pPr>
        <w:pStyle w:val="ListParagraph"/>
        <w:numPr>
          <w:ilvl w:val="0"/>
          <w:numId w:val="28"/>
        </w:numPr>
        <w:tabs>
          <w:tab w:val="left" w:pos="851"/>
          <w:tab w:val="left" w:pos="1418"/>
        </w:tabs>
        <w:spacing w:after="0"/>
        <w:rPr>
          <w:rFonts w:eastAsia="Times New Roman" w:cs="Arial"/>
          <w:lang w:eastAsia="en-GB"/>
        </w:rPr>
      </w:pPr>
      <w:r w:rsidRPr="005125BC">
        <w:rPr>
          <w:rFonts w:eastAsia="Times New Roman" w:cs="Arial"/>
          <w:lang w:eastAsia="en-GB"/>
        </w:rPr>
        <w:t>Net underspends and potential underspends</w:t>
      </w:r>
      <w:r w:rsidRPr="005125BC">
        <w:rPr>
          <w:rFonts w:eastAsia="Times New Roman" w:cs="Arial"/>
          <w:lang w:eastAsia="en-GB"/>
        </w:rPr>
        <w:tab/>
      </w:r>
      <w:r w:rsidRPr="005125BC">
        <w:rPr>
          <w:rFonts w:eastAsia="Times New Roman" w:cs="Arial"/>
          <w:lang w:eastAsia="en-GB"/>
        </w:rPr>
        <w:tab/>
        <w:t xml:space="preserve">£1.659m </w:t>
      </w:r>
    </w:p>
    <w:p w14:paraId="2587E082" w14:textId="77777777" w:rsidR="00D10794" w:rsidRPr="005125BC" w:rsidRDefault="00D10794" w:rsidP="00D10794">
      <w:pPr>
        <w:pStyle w:val="ListParagraph"/>
        <w:numPr>
          <w:ilvl w:val="0"/>
          <w:numId w:val="28"/>
        </w:numPr>
        <w:tabs>
          <w:tab w:val="left" w:pos="851"/>
          <w:tab w:val="left" w:pos="1418"/>
        </w:tabs>
        <w:spacing w:after="0"/>
        <w:rPr>
          <w:rFonts w:eastAsia="Times New Roman" w:cs="Arial"/>
          <w:lang w:eastAsia="en-GB"/>
        </w:rPr>
      </w:pPr>
      <w:r w:rsidRPr="005125BC">
        <w:rPr>
          <w:rFonts w:eastAsia="Times New Roman" w:cs="Arial"/>
          <w:lang w:eastAsia="en-GB"/>
        </w:rPr>
        <w:t xml:space="preserve">Net overspends and potential overspends </w:t>
      </w:r>
      <w:r w:rsidRPr="005125BC">
        <w:rPr>
          <w:rFonts w:eastAsia="Times New Roman" w:cs="Arial"/>
          <w:lang w:eastAsia="en-GB"/>
        </w:rPr>
        <w:tab/>
      </w:r>
      <w:r w:rsidRPr="005125BC">
        <w:rPr>
          <w:rFonts w:eastAsia="Times New Roman" w:cs="Arial"/>
          <w:lang w:eastAsia="en-GB"/>
        </w:rPr>
        <w:tab/>
        <w:t xml:space="preserve">£2.088m </w:t>
      </w:r>
    </w:p>
    <w:p w14:paraId="68BCABEC" w14:textId="77777777" w:rsidR="00D10794" w:rsidRPr="005125BC" w:rsidRDefault="00D10794" w:rsidP="00D10794">
      <w:pPr>
        <w:pStyle w:val="ListParagraph"/>
        <w:numPr>
          <w:ilvl w:val="0"/>
          <w:numId w:val="28"/>
        </w:numPr>
        <w:tabs>
          <w:tab w:val="left" w:pos="851"/>
          <w:tab w:val="left" w:pos="1418"/>
        </w:tabs>
        <w:spacing w:after="0"/>
        <w:rPr>
          <w:rFonts w:eastAsia="Times New Roman" w:cs="Arial"/>
          <w:lang w:eastAsia="en-GB"/>
        </w:rPr>
      </w:pPr>
      <w:r w:rsidRPr="005125BC">
        <w:rPr>
          <w:rFonts w:eastAsia="Times New Roman" w:cs="Arial"/>
          <w:lang w:eastAsia="en-GB"/>
        </w:rPr>
        <w:t>Slipped Delivery</w:t>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t xml:space="preserve"> </w:t>
      </w:r>
      <w:r w:rsidRPr="005125BC">
        <w:rPr>
          <w:rFonts w:eastAsia="Times New Roman" w:cs="Arial"/>
          <w:lang w:eastAsia="en-GB"/>
        </w:rPr>
        <w:tab/>
      </w:r>
      <w:r w:rsidRPr="005125BC">
        <w:rPr>
          <w:rFonts w:eastAsia="Times New Roman" w:cs="Arial"/>
          <w:lang w:eastAsia="en-GB"/>
        </w:rPr>
        <w:tab/>
        <w:t xml:space="preserve">£48.888m  </w:t>
      </w:r>
    </w:p>
    <w:p w14:paraId="291C6EA1" w14:textId="77777777" w:rsidR="00D10794" w:rsidRPr="005125BC" w:rsidRDefault="00D10794" w:rsidP="00D10794">
      <w:pPr>
        <w:pStyle w:val="ListParagraph"/>
        <w:numPr>
          <w:ilvl w:val="0"/>
          <w:numId w:val="28"/>
        </w:numPr>
        <w:tabs>
          <w:tab w:val="left" w:pos="851"/>
          <w:tab w:val="left" w:pos="1418"/>
        </w:tabs>
        <w:spacing w:after="0"/>
        <w:rPr>
          <w:rFonts w:eastAsia="Times New Roman" w:cs="Arial"/>
          <w:lang w:eastAsia="en-GB"/>
        </w:rPr>
      </w:pPr>
      <w:r w:rsidRPr="005125BC">
        <w:rPr>
          <w:rFonts w:eastAsia="Times New Roman" w:cs="Arial"/>
          <w:lang w:eastAsia="en-GB"/>
        </w:rPr>
        <w:t>Additional Delivery</w:t>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r>
      <w:r w:rsidRPr="005125BC">
        <w:rPr>
          <w:rFonts w:eastAsia="Times New Roman" w:cs="Arial"/>
          <w:lang w:eastAsia="en-GB"/>
        </w:rPr>
        <w:tab/>
        <w:t>£15.849m</w:t>
      </w:r>
    </w:p>
    <w:p w14:paraId="42CCCD90"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45F6D432" w14:textId="77777777" w:rsidR="00D10794" w:rsidRPr="005125BC" w:rsidRDefault="00D10794" w:rsidP="00D10794">
      <w:pPr>
        <w:tabs>
          <w:tab w:val="left" w:pos="851"/>
          <w:tab w:val="left" w:pos="1418"/>
        </w:tabs>
        <w:spacing w:after="0"/>
        <w:rPr>
          <w:rFonts w:eastAsia="Times New Roman" w:cs="Arial"/>
          <w:lang w:eastAsia="en-GB"/>
        </w:rPr>
      </w:pPr>
      <w:r w:rsidRPr="005125BC">
        <w:rPr>
          <w:rFonts w:eastAsia="Times New Roman" w:cs="Arial"/>
          <w:lang w:eastAsia="en-GB"/>
        </w:rPr>
        <w:t>The slipped delivery is a mixture of financial delays e.g. for retention amounts where the project is complete; delays due to changes to the work programmed, delays due to adverse weather</w:t>
      </w:r>
      <w:r>
        <w:rPr>
          <w:rFonts w:eastAsia="Times New Roman" w:cs="Arial"/>
          <w:lang w:eastAsia="en-GB"/>
        </w:rPr>
        <w:t>,</w:t>
      </w:r>
      <w:r w:rsidRPr="005125BC">
        <w:rPr>
          <w:rFonts w:eastAsia="Times New Roman" w:cs="Arial"/>
          <w:lang w:eastAsia="en-GB"/>
        </w:rPr>
        <w:t xml:space="preserve"> and the Coronavirus pandemic which affected the completion or commencement of some projects.  </w:t>
      </w:r>
    </w:p>
    <w:p w14:paraId="29375590"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4ADA2F28" w14:textId="77777777" w:rsidR="00D10794" w:rsidRPr="005125BC" w:rsidRDefault="00D10794" w:rsidP="00D10794">
      <w:pPr>
        <w:spacing w:after="0"/>
        <w:rPr>
          <w:rFonts w:eastAsia="Times New Roman" w:cs="Arial"/>
          <w:lang w:eastAsia="en-GB"/>
        </w:rPr>
      </w:pPr>
      <w:r w:rsidRPr="005125BC">
        <w:rPr>
          <w:rFonts w:eastAsia="Times New Roman" w:cs="Arial"/>
          <w:lang w:eastAsia="en-GB"/>
        </w:rPr>
        <w:t xml:space="preserve">During the first 3 months of 2021/22 a comprehensive review of the delivery programme for 2021/22 is being undertaken </w:t>
      </w:r>
      <w:proofErr w:type="gramStart"/>
      <w:r w:rsidRPr="005125BC">
        <w:rPr>
          <w:rFonts w:eastAsia="Times New Roman" w:cs="Arial"/>
          <w:lang w:eastAsia="en-GB"/>
        </w:rPr>
        <w:t>in light of</w:t>
      </w:r>
      <w:proofErr w:type="gramEnd"/>
      <w:r w:rsidRPr="005125BC">
        <w:rPr>
          <w:rFonts w:eastAsia="Times New Roman" w:cs="Arial"/>
          <w:lang w:eastAsia="en-GB"/>
        </w:rPr>
        <w:t xml:space="preserve"> the outturn position</w:t>
      </w:r>
      <w:r>
        <w:rPr>
          <w:rFonts w:eastAsia="Times New Roman" w:cs="Arial"/>
          <w:lang w:eastAsia="en-GB"/>
        </w:rPr>
        <w:t>. A</w:t>
      </w:r>
      <w:r w:rsidRPr="005125BC">
        <w:rPr>
          <w:rFonts w:eastAsia="Times New Roman" w:cs="Arial"/>
          <w:lang w:eastAsia="en-GB"/>
        </w:rPr>
        <w:t xml:space="preserve">ny proposed changes to the 2021/22 delivery programme </w:t>
      </w:r>
      <w:r>
        <w:rPr>
          <w:rFonts w:eastAsia="Times New Roman" w:cs="Arial"/>
          <w:lang w:eastAsia="en-GB"/>
        </w:rPr>
        <w:t xml:space="preserve">will be </w:t>
      </w:r>
      <w:r w:rsidRPr="005125BC">
        <w:rPr>
          <w:rFonts w:eastAsia="Times New Roman" w:cs="Arial"/>
          <w:lang w:eastAsia="en-GB"/>
        </w:rPr>
        <w:t xml:space="preserve">reported back to </w:t>
      </w:r>
      <w:r>
        <w:rPr>
          <w:rFonts w:eastAsia="Times New Roman" w:cs="Arial"/>
          <w:lang w:eastAsia="en-GB"/>
        </w:rPr>
        <w:t>C</w:t>
      </w:r>
      <w:r w:rsidRPr="005125BC">
        <w:rPr>
          <w:rFonts w:eastAsia="Times New Roman" w:cs="Arial"/>
          <w:lang w:eastAsia="en-GB"/>
        </w:rPr>
        <w:t xml:space="preserve">abinet as part of the regular money matters reports. </w:t>
      </w:r>
    </w:p>
    <w:p w14:paraId="2F4FF410" w14:textId="77777777" w:rsidR="00D10794" w:rsidRPr="00C529BF" w:rsidRDefault="00D10794" w:rsidP="00D10794">
      <w:pPr>
        <w:spacing w:after="0"/>
        <w:rPr>
          <w:rFonts w:eastAsia="Times New Roman" w:cs="Arial"/>
          <w:highlight w:val="yellow"/>
          <w:lang w:eastAsia="en-GB"/>
        </w:rPr>
      </w:pPr>
    </w:p>
    <w:p w14:paraId="2952DE2F" w14:textId="77777777" w:rsidR="00D10794" w:rsidRPr="00C529BF" w:rsidRDefault="00D10794" w:rsidP="00D10794">
      <w:pPr>
        <w:spacing w:after="0"/>
        <w:rPr>
          <w:rFonts w:eastAsia="Times New Roman" w:cs="Arial"/>
          <w:highlight w:val="yellow"/>
          <w:lang w:eastAsia="en-GB"/>
        </w:rPr>
      </w:pPr>
    </w:p>
    <w:p w14:paraId="6B2278C7" w14:textId="77777777" w:rsidR="00D10794" w:rsidRPr="00C529BF" w:rsidRDefault="00D10794" w:rsidP="00D10794">
      <w:pPr>
        <w:spacing w:after="0"/>
        <w:rPr>
          <w:rFonts w:eastAsia="Times New Roman" w:cs="Arial"/>
          <w:highlight w:val="yellow"/>
          <w:lang w:eastAsia="en-GB"/>
        </w:rPr>
      </w:pPr>
    </w:p>
    <w:p w14:paraId="248063FA" w14:textId="77777777" w:rsidR="00D10794" w:rsidRPr="00C529BF" w:rsidRDefault="00D10794" w:rsidP="00D10794">
      <w:pPr>
        <w:spacing w:after="0"/>
        <w:rPr>
          <w:rFonts w:eastAsia="Times New Roman" w:cs="Arial"/>
          <w:highlight w:val="yellow"/>
          <w:lang w:eastAsia="en-GB"/>
        </w:rPr>
      </w:pPr>
    </w:p>
    <w:p w14:paraId="6C88470F" w14:textId="77777777" w:rsidR="00D10794" w:rsidRPr="00C529BF" w:rsidRDefault="00D10794" w:rsidP="00D10794">
      <w:pPr>
        <w:spacing w:after="0"/>
        <w:rPr>
          <w:rFonts w:eastAsia="Times New Roman" w:cs="Arial"/>
          <w:highlight w:val="yellow"/>
          <w:lang w:eastAsia="en-GB"/>
        </w:rPr>
      </w:pPr>
    </w:p>
    <w:p w14:paraId="431AF11A" w14:textId="77777777" w:rsidR="00D10794" w:rsidRPr="00C529BF" w:rsidRDefault="00D10794" w:rsidP="00D10794">
      <w:pPr>
        <w:spacing w:after="0"/>
        <w:rPr>
          <w:rFonts w:eastAsia="Times New Roman" w:cs="Arial"/>
          <w:highlight w:val="yellow"/>
          <w:lang w:eastAsia="en-GB"/>
        </w:rPr>
      </w:pPr>
    </w:p>
    <w:p w14:paraId="7BA04696" w14:textId="77777777" w:rsidR="00D10794" w:rsidRPr="00C529BF" w:rsidRDefault="00D10794" w:rsidP="00D10794">
      <w:pPr>
        <w:spacing w:after="0"/>
        <w:rPr>
          <w:rFonts w:eastAsia="Times New Roman" w:cs="Arial"/>
          <w:highlight w:val="yellow"/>
          <w:lang w:eastAsia="en-GB"/>
        </w:rPr>
      </w:pPr>
    </w:p>
    <w:p w14:paraId="4EC0E805" w14:textId="77777777" w:rsidR="00D10794" w:rsidRPr="00C529BF" w:rsidRDefault="00D10794" w:rsidP="00D10794">
      <w:pPr>
        <w:spacing w:after="0"/>
        <w:rPr>
          <w:rFonts w:eastAsia="Times New Roman" w:cs="Arial"/>
          <w:highlight w:val="yellow"/>
          <w:lang w:eastAsia="en-GB"/>
        </w:rPr>
      </w:pPr>
    </w:p>
    <w:p w14:paraId="5991E7A6" w14:textId="77777777" w:rsidR="00D10794" w:rsidRPr="00C529BF" w:rsidRDefault="00D10794" w:rsidP="00D10794">
      <w:pPr>
        <w:spacing w:after="0"/>
        <w:rPr>
          <w:rFonts w:eastAsia="Times New Roman" w:cs="Arial"/>
          <w:highlight w:val="yellow"/>
          <w:lang w:eastAsia="en-GB"/>
        </w:rPr>
      </w:pPr>
    </w:p>
    <w:p w14:paraId="4D70B15B" w14:textId="77777777" w:rsidR="00D10794" w:rsidRPr="00C529BF" w:rsidRDefault="00D10794" w:rsidP="00D10794">
      <w:pPr>
        <w:spacing w:after="0"/>
        <w:rPr>
          <w:rFonts w:eastAsia="Times New Roman" w:cs="Arial"/>
          <w:highlight w:val="yellow"/>
          <w:lang w:eastAsia="en-GB"/>
        </w:rPr>
      </w:pPr>
    </w:p>
    <w:p w14:paraId="7750D908" w14:textId="77777777" w:rsidR="00D10794" w:rsidRPr="00C529BF" w:rsidRDefault="00D10794" w:rsidP="00D10794">
      <w:pPr>
        <w:spacing w:after="0"/>
        <w:rPr>
          <w:rFonts w:eastAsia="Times New Roman" w:cs="Arial"/>
          <w:highlight w:val="yellow"/>
          <w:lang w:eastAsia="en-GB"/>
        </w:rPr>
      </w:pPr>
    </w:p>
    <w:p w14:paraId="73A2F41A" w14:textId="77777777" w:rsidR="00D10794" w:rsidRPr="00C529BF" w:rsidRDefault="00D10794" w:rsidP="00D10794">
      <w:pPr>
        <w:spacing w:after="0"/>
        <w:rPr>
          <w:rFonts w:eastAsia="Times New Roman" w:cs="Arial"/>
          <w:highlight w:val="yellow"/>
          <w:lang w:eastAsia="en-GB"/>
        </w:rPr>
      </w:pPr>
    </w:p>
    <w:p w14:paraId="4D7B6E60" w14:textId="77777777" w:rsidR="00D10794" w:rsidRPr="00C529BF" w:rsidRDefault="00D10794" w:rsidP="00D10794">
      <w:pPr>
        <w:spacing w:after="0"/>
        <w:rPr>
          <w:rFonts w:eastAsia="Times New Roman" w:cs="Arial"/>
          <w:highlight w:val="yellow"/>
          <w:lang w:eastAsia="en-GB"/>
        </w:rPr>
      </w:pPr>
    </w:p>
    <w:p w14:paraId="13462621" w14:textId="77777777" w:rsidR="00D10794" w:rsidRPr="00C529BF" w:rsidRDefault="00D10794" w:rsidP="00D10794">
      <w:pPr>
        <w:spacing w:after="0"/>
        <w:rPr>
          <w:rFonts w:eastAsia="Times New Roman" w:cs="Arial"/>
          <w:highlight w:val="yellow"/>
          <w:lang w:eastAsia="en-GB"/>
        </w:rPr>
      </w:pPr>
    </w:p>
    <w:p w14:paraId="05317DE2" w14:textId="77777777" w:rsidR="00D10794" w:rsidRPr="00C529BF" w:rsidRDefault="00D10794" w:rsidP="00D10794">
      <w:pPr>
        <w:spacing w:after="0"/>
        <w:rPr>
          <w:rFonts w:eastAsia="Times New Roman" w:cs="Arial"/>
          <w:highlight w:val="yellow"/>
          <w:lang w:eastAsia="en-GB"/>
        </w:rPr>
      </w:pPr>
    </w:p>
    <w:p w14:paraId="56B6FBED" w14:textId="77777777" w:rsidR="00D10794" w:rsidRPr="00C529BF" w:rsidRDefault="00D10794" w:rsidP="00D10794">
      <w:pPr>
        <w:spacing w:after="0"/>
        <w:ind w:left="720"/>
        <w:rPr>
          <w:rFonts w:eastAsia="Times New Roman" w:cs="Arial"/>
          <w:highlight w:val="yellow"/>
          <w:lang w:eastAsia="en-GB"/>
        </w:rPr>
      </w:pPr>
    </w:p>
    <w:p w14:paraId="44EB8F1C"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1BDE011D" w14:textId="77777777" w:rsidR="00D10794" w:rsidRDefault="00D10794" w:rsidP="00D10794">
      <w:pPr>
        <w:tabs>
          <w:tab w:val="left" w:pos="851"/>
          <w:tab w:val="left" w:pos="1418"/>
        </w:tabs>
        <w:spacing w:after="0"/>
        <w:rPr>
          <w:rFonts w:eastAsia="Times New Roman" w:cs="Arial"/>
          <w:highlight w:val="yellow"/>
          <w:lang w:eastAsia="en-GB"/>
        </w:rPr>
      </w:pPr>
    </w:p>
    <w:p w14:paraId="2EDD6424" w14:textId="77777777" w:rsidR="00D10794" w:rsidRDefault="00D10794" w:rsidP="00D10794">
      <w:pPr>
        <w:tabs>
          <w:tab w:val="left" w:pos="851"/>
          <w:tab w:val="left" w:pos="1418"/>
        </w:tabs>
        <w:spacing w:after="0"/>
        <w:rPr>
          <w:rFonts w:eastAsia="Times New Roman" w:cs="Arial"/>
          <w:highlight w:val="yellow"/>
          <w:lang w:eastAsia="en-GB"/>
        </w:rPr>
      </w:pPr>
    </w:p>
    <w:p w14:paraId="7E57922A" w14:textId="77777777" w:rsidR="00D10794" w:rsidRDefault="00D10794" w:rsidP="00D10794">
      <w:pPr>
        <w:tabs>
          <w:tab w:val="left" w:pos="851"/>
          <w:tab w:val="left" w:pos="1418"/>
        </w:tabs>
        <w:spacing w:after="0"/>
        <w:rPr>
          <w:rFonts w:eastAsia="Times New Roman" w:cs="Arial"/>
          <w:highlight w:val="yellow"/>
          <w:lang w:eastAsia="en-GB"/>
        </w:rPr>
      </w:pPr>
    </w:p>
    <w:p w14:paraId="008F5457" w14:textId="77777777" w:rsidR="00D10794" w:rsidRDefault="00D10794" w:rsidP="00D10794">
      <w:pPr>
        <w:tabs>
          <w:tab w:val="left" w:pos="851"/>
          <w:tab w:val="left" w:pos="1418"/>
        </w:tabs>
        <w:spacing w:after="0"/>
        <w:rPr>
          <w:rFonts w:eastAsia="Times New Roman" w:cs="Arial"/>
          <w:highlight w:val="yellow"/>
          <w:lang w:eastAsia="en-GB"/>
        </w:rPr>
      </w:pPr>
    </w:p>
    <w:p w14:paraId="15A3437B" w14:textId="25D8A7C0" w:rsidR="00D10794" w:rsidRDefault="00D10794" w:rsidP="00D10794">
      <w:pPr>
        <w:tabs>
          <w:tab w:val="left" w:pos="851"/>
          <w:tab w:val="left" w:pos="1418"/>
        </w:tabs>
        <w:spacing w:after="0"/>
        <w:rPr>
          <w:rFonts w:eastAsia="Times New Roman" w:cs="Arial"/>
          <w:highlight w:val="yellow"/>
          <w:lang w:eastAsia="en-GB"/>
        </w:rPr>
      </w:pPr>
    </w:p>
    <w:p w14:paraId="03A837A3" w14:textId="77777777" w:rsidR="00D81049" w:rsidRDefault="00D81049" w:rsidP="00D10794">
      <w:pPr>
        <w:tabs>
          <w:tab w:val="left" w:pos="851"/>
          <w:tab w:val="left" w:pos="1418"/>
        </w:tabs>
        <w:spacing w:after="0"/>
        <w:rPr>
          <w:rFonts w:eastAsia="Times New Roman" w:cs="Arial"/>
          <w:highlight w:val="yellow"/>
          <w:lang w:eastAsia="en-GB"/>
        </w:rPr>
      </w:pPr>
    </w:p>
    <w:p w14:paraId="3360902A"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1A876F5E"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58C82BA5" w14:textId="77777777" w:rsidR="00D10794" w:rsidRPr="00B61F6C" w:rsidRDefault="00D10794" w:rsidP="00D10794">
      <w:pPr>
        <w:tabs>
          <w:tab w:val="left" w:pos="851"/>
          <w:tab w:val="left" w:pos="1418"/>
        </w:tabs>
        <w:spacing w:after="0"/>
        <w:rPr>
          <w:rFonts w:eastAsia="Times New Roman" w:cs="Arial"/>
          <w:b/>
          <w:lang w:eastAsia="en-GB"/>
        </w:rPr>
      </w:pPr>
      <w:r w:rsidRPr="00B61F6C">
        <w:rPr>
          <w:rFonts w:eastAsia="Times New Roman" w:cs="Arial"/>
          <w:b/>
          <w:lang w:eastAsia="en-GB"/>
        </w:rPr>
        <w:lastRenderedPageBreak/>
        <w:t>Section A - The 20</w:t>
      </w:r>
      <w:r>
        <w:rPr>
          <w:rFonts w:eastAsia="Times New Roman" w:cs="Arial"/>
          <w:b/>
          <w:lang w:eastAsia="en-GB"/>
        </w:rPr>
        <w:t>20</w:t>
      </w:r>
      <w:r w:rsidRPr="00B61F6C">
        <w:rPr>
          <w:rFonts w:eastAsia="Times New Roman" w:cs="Arial"/>
          <w:b/>
          <w:lang w:eastAsia="en-GB"/>
        </w:rPr>
        <w:t>/2</w:t>
      </w:r>
      <w:r>
        <w:rPr>
          <w:rFonts w:eastAsia="Times New Roman" w:cs="Arial"/>
          <w:b/>
          <w:lang w:eastAsia="en-GB"/>
        </w:rPr>
        <w:t>1</w:t>
      </w:r>
      <w:r w:rsidRPr="00B61F6C">
        <w:rPr>
          <w:rFonts w:eastAsia="Times New Roman" w:cs="Arial"/>
          <w:b/>
          <w:lang w:eastAsia="en-GB"/>
        </w:rPr>
        <w:t xml:space="preserve"> Revenue Budget</w:t>
      </w:r>
    </w:p>
    <w:p w14:paraId="123F4DDF" w14:textId="77777777" w:rsidR="00D10794" w:rsidRPr="00C529BF" w:rsidRDefault="00D10794" w:rsidP="00D10794">
      <w:pPr>
        <w:tabs>
          <w:tab w:val="left" w:pos="851"/>
          <w:tab w:val="left" w:pos="1418"/>
        </w:tabs>
        <w:spacing w:after="0"/>
        <w:rPr>
          <w:rFonts w:eastAsia="Times New Roman" w:cs="Arial"/>
          <w:b/>
          <w:highlight w:val="yellow"/>
          <w:u w:val="single"/>
          <w:lang w:eastAsia="en-GB"/>
        </w:rPr>
      </w:pPr>
    </w:p>
    <w:p w14:paraId="219B159E" w14:textId="77777777" w:rsidR="00D10794" w:rsidRPr="00B61F6C" w:rsidRDefault="00D10794" w:rsidP="00D10794">
      <w:pPr>
        <w:tabs>
          <w:tab w:val="left" w:pos="851"/>
          <w:tab w:val="left" w:pos="1418"/>
        </w:tabs>
        <w:spacing w:after="0"/>
        <w:rPr>
          <w:rFonts w:eastAsia="Times New Roman" w:cs="Arial"/>
          <w:b/>
          <w:lang w:eastAsia="en-GB"/>
        </w:rPr>
      </w:pPr>
      <w:r w:rsidRPr="00B61F6C">
        <w:rPr>
          <w:rFonts w:eastAsia="Times New Roman" w:cs="Arial"/>
          <w:b/>
          <w:lang w:eastAsia="en-GB"/>
        </w:rPr>
        <w:t>1. Executive Summary</w:t>
      </w:r>
    </w:p>
    <w:p w14:paraId="55990B50" w14:textId="77777777" w:rsidR="00D10794" w:rsidRPr="00B61F6C" w:rsidRDefault="00D10794" w:rsidP="00D10794">
      <w:pPr>
        <w:tabs>
          <w:tab w:val="left" w:pos="851"/>
          <w:tab w:val="left" w:pos="1418"/>
        </w:tabs>
        <w:spacing w:after="0"/>
        <w:rPr>
          <w:rFonts w:eastAsia="Times New Roman" w:cs="Arial"/>
          <w:lang w:eastAsia="en-GB"/>
        </w:rPr>
      </w:pPr>
    </w:p>
    <w:p w14:paraId="6B53EFC0" w14:textId="77777777" w:rsidR="00D10794" w:rsidRPr="00B61F6C" w:rsidRDefault="00D10794" w:rsidP="00D10794">
      <w:pPr>
        <w:tabs>
          <w:tab w:val="left" w:pos="851"/>
          <w:tab w:val="left" w:pos="1418"/>
        </w:tabs>
        <w:spacing w:after="0"/>
        <w:rPr>
          <w:rFonts w:eastAsia="Times New Roman" w:cs="Arial"/>
          <w:lang w:eastAsia="en-GB"/>
        </w:rPr>
      </w:pPr>
      <w:r w:rsidRPr="00B61F6C">
        <w:rPr>
          <w:rFonts w:eastAsia="Times New Roman" w:cs="Arial"/>
          <w:lang w:eastAsia="en-GB"/>
        </w:rPr>
        <w:t xml:space="preserve">This section of the report provides an update for Cabinet on the County Council's 2020/21 revenue financial position and contains a comparison to the previously reported financial position as at Quarter 3. </w:t>
      </w:r>
    </w:p>
    <w:p w14:paraId="0E2183FA" w14:textId="77777777" w:rsidR="00D10794" w:rsidRDefault="00D10794" w:rsidP="00D10794">
      <w:pPr>
        <w:tabs>
          <w:tab w:val="left" w:pos="851"/>
          <w:tab w:val="left" w:pos="1418"/>
        </w:tabs>
        <w:spacing w:after="0"/>
        <w:rPr>
          <w:rFonts w:eastAsia="Times New Roman" w:cs="Arial"/>
          <w:highlight w:val="yellow"/>
          <w:lang w:eastAsia="en-GB"/>
        </w:rPr>
      </w:pPr>
    </w:p>
    <w:p w14:paraId="36D0BE99" w14:textId="69EDE405" w:rsidR="00D10794" w:rsidRPr="00B61F6C" w:rsidRDefault="00D10794" w:rsidP="00D10794">
      <w:pPr>
        <w:tabs>
          <w:tab w:val="left" w:pos="851"/>
          <w:tab w:val="left" w:pos="1418"/>
        </w:tabs>
        <w:spacing w:after="0"/>
        <w:rPr>
          <w:rFonts w:eastAsia="Times New Roman" w:cs="Arial"/>
          <w:lang w:eastAsia="en-GB"/>
        </w:rPr>
      </w:pPr>
      <w:r w:rsidRPr="00B61F6C">
        <w:rPr>
          <w:rFonts w:eastAsia="Times New Roman" w:cs="Arial"/>
          <w:lang w:eastAsia="en-GB"/>
        </w:rPr>
        <w:t xml:space="preserve">The final revenue outturn position whilst also providing a comparison to the last reported position at Quarter 3. The final position at the end of the year is net expenditure </w:t>
      </w:r>
      <w:r w:rsidRPr="00B61F6C">
        <w:rPr>
          <w:rFonts w:eastAsia="Times New Roman" w:cs="Arial"/>
          <w:color w:val="auto"/>
          <w:lang w:eastAsia="en-GB"/>
        </w:rPr>
        <w:t>of £825.</w:t>
      </w:r>
      <w:r w:rsidRPr="00C51D54">
        <w:rPr>
          <w:rFonts w:eastAsia="Times New Roman" w:cs="Arial"/>
          <w:color w:val="auto"/>
          <w:lang w:eastAsia="en-GB"/>
        </w:rPr>
        <w:t xml:space="preserve">619m, </w:t>
      </w:r>
      <w:r w:rsidRPr="00C51D54">
        <w:t>against and approved budget of £844.851m</w:t>
      </w:r>
      <w:r>
        <w:rPr>
          <w:rFonts w:eastAsia="Times New Roman" w:cs="Arial"/>
          <w:color w:val="auto"/>
          <w:lang w:eastAsia="en-GB"/>
        </w:rPr>
        <w:t xml:space="preserve">, </w:t>
      </w:r>
      <w:r w:rsidRPr="00B61F6C">
        <w:rPr>
          <w:rFonts w:eastAsia="Times New Roman" w:cs="Arial"/>
          <w:color w:val="auto"/>
          <w:lang w:eastAsia="en-GB"/>
        </w:rPr>
        <w:t xml:space="preserve">which </w:t>
      </w:r>
      <w:r w:rsidRPr="00B61F6C">
        <w:rPr>
          <w:rFonts w:eastAsia="Times New Roman" w:cs="Arial"/>
          <w:lang w:eastAsia="en-GB"/>
        </w:rPr>
        <w:t>represents an in</w:t>
      </w:r>
      <w:r>
        <w:rPr>
          <w:rFonts w:eastAsia="Times New Roman" w:cs="Arial"/>
          <w:lang w:eastAsia="en-GB"/>
        </w:rPr>
        <w:t>-</w:t>
      </w:r>
      <w:r w:rsidRPr="00B61F6C">
        <w:rPr>
          <w:rFonts w:eastAsia="Times New Roman" w:cs="Arial"/>
          <w:lang w:eastAsia="en-GB"/>
        </w:rPr>
        <w:t>year underspend of £19.23</w:t>
      </w:r>
      <w:r>
        <w:rPr>
          <w:rFonts w:eastAsia="Times New Roman" w:cs="Arial"/>
          <w:lang w:eastAsia="en-GB"/>
        </w:rPr>
        <w:t>2</w:t>
      </w:r>
      <w:r w:rsidRPr="00B61F6C">
        <w:rPr>
          <w:rFonts w:eastAsia="Times New Roman" w:cs="Arial"/>
          <w:lang w:eastAsia="en-GB"/>
        </w:rPr>
        <w:t xml:space="preserve">m </w:t>
      </w:r>
      <w:r>
        <w:rPr>
          <w:rFonts w:eastAsia="Times New Roman" w:cs="Arial"/>
          <w:lang w:eastAsia="en-GB"/>
        </w:rPr>
        <w:t>or</w:t>
      </w:r>
      <w:r w:rsidRPr="00B61F6C">
        <w:rPr>
          <w:rFonts w:eastAsia="Times New Roman" w:cs="Arial"/>
          <w:lang w:eastAsia="en-GB"/>
        </w:rPr>
        <w:t xml:space="preserve"> 2.28% of the revenue budget.</w:t>
      </w:r>
      <w:r w:rsidR="00DE3A28">
        <w:rPr>
          <w:rFonts w:eastAsia="Times New Roman" w:cs="Arial"/>
          <w:lang w:eastAsia="en-GB"/>
        </w:rPr>
        <w:t xml:space="preserve">  The </w:t>
      </w:r>
      <w:r w:rsidR="008A7019">
        <w:rPr>
          <w:rFonts w:eastAsia="Times New Roman" w:cs="Arial"/>
          <w:lang w:eastAsia="en-GB"/>
        </w:rPr>
        <w:t xml:space="preserve">largest contributing element to the overall underspend was the continued strong performance on Treasury Management with a surplus of £24m generated, but it is clear that thereafter the most significant single factor affecting both service and financial performance this year has been the </w:t>
      </w:r>
      <w:r w:rsidR="00DE3A28">
        <w:rPr>
          <w:rFonts w:eastAsia="Times New Roman" w:cs="Arial"/>
          <w:lang w:eastAsia="en-GB"/>
        </w:rPr>
        <w:t>pandemic</w:t>
      </w:r>
      <w:r w:rsidR="008A7019">
        <w:rPr>
          <w:rFonts w:eastAsia="Times New Roman" w:cs="Arial"/>
          <w:lang w:eastAsia="en-GB"/>
        </w:rPr>
        <w:t>.  Whilst there have been a number of service areas experiencing financial pressures due to the impact of Covid</w:t>
      </w:r>
      <w:r w:rsidR="00D81049">
        <w:rPr>
          <w:rFonts w:eastAsia="Times New Roman" w:cs="Arial"/>
          <w:lang w:eastAsia="en-GB"/>
        </w:rPr>
        <w:t>-19</w:t>
      </w:r>
      <w:r w:rsidR="008A7019">
        <w:rPr>
          <w:rFonts w:eastAsia="Times New Roman" w:cs="Arial"/>
          <w:lang w:eastAsia="en-GB"/>
        </w:rPr>
        <w:t xml:space="preserve">, there are also offsetting </w:t>
      </w:r>
      <w:r w:rsidR="008A67E6">
        <w:rPr>
          <w:rFonts w:eastAsia="Times New Roman" w:cs="Arial"/>
          <w:lang w:eastAsia="en-GB"/>
        </w:rPr>
        <w:t xml:space="preserve">short-term </w:t>
      </w:r>
      <w:r w:rsidR="008A7019">
        <w:rPr>
          <w:rFonts w:eastAsia="Times New Roman" w:cs="Arial"/>
          <w:lang w:eastAsia="en-GB"/>
        </w:rPr>
        <w:t>cost reductions resulting from factors including lower than anticipated demand for some services</w:t>
      </w:r>
      <w:r w:rsidR="00DE3A28">
        <w:rPr>
          <w:rFonts w:eastAsia="Times New Roman" w:cs="Arial"/>
          <w:lang w:eastAsia="en-GB"/>
        </w:rPr>
        <w:t xml:space="preserve"> </w:t>
      </w:r>
      <w:r w:rsidR="008A7019">
        <w:rPr>
          <w:rFonts w:eastAsia="Times New Roman" w:cs="Arial"/>
          <w:lang w:eastAsia="en-GB"/>
        </w:rPr>
        <w:t xml:space="preserve">and the move to remote working in line with Government guidance.  </w:t>
      </w:r>
      <w:r w:rsidR="008A67E6">
        <w:rPr>
          <w:rFonts w:eastAsia="Times New Roman" w:cs="Arial"/>
          <w:lang w:eastAsia="en-GB"/>
        </w:rPr>
        <w:t>We anticipate a drift back up in demand as a new normal settles post Covid</w:t>
      </w:r>
      <w:r w:rsidR="00D81049">
        <w:rPr>
          <w:rFonts w:eastAsia="Times New Roman" w:cs="Arial"/>
          <w:lang w:eastAsia="en-GB"/>
        </w:rPr>
        <w:t>-19</w:t>
      </w:r>
      <w:r w:rsidR="008A67E6">
        <w:rPr>
          <w:rFonts w:eastAsia="Times New Roman" w:cs="Arial"/>
          <w:lang w:eastAsia="en-GB"/>
        </w:rPr>
        <w:t xml:space="preserve">, particularly across adults and children's services. </w:t>
      </w:r>
    </w:p>
    <w:p w14:paraId="012CD6F1" w14:textId="77777777" w:rsidR="00D10794" w:rsidRPr="00C529BF" w:rsidRDefault="00D10794" w:rsidP="00D10794">
      <w:pPr>
        <w:tabs>
          <w:tab w:val="left" w:pos="851"/>
          <w:tab w:val="left" w:pos="1418"/>
        </w:tabs>
        <w:spacing w:after="0"/>
        <w:rPr>
          <w:rFonts w:eastAsia="Times New Roman" w:cs="Arial"/>
          <w:highlight w:val="yellow"/>
          <w:lang w:eastAsia="en-GB"/>
        </w:rPr>
      </w:pPr>
    </w:p>
    <w:p w14:paraId="303E897C" w14:textId="77777777" w:rsidR="00D10794" w:rsidRPr="00B61F6C" w:rsidRDefault="00D10794" w:rsidP="00D10794">
      <w:pPr>
        <w:tabs>
          <w:tab w:val="left" w:pos="851"/>
          <w:tab w:val="left" w:pos="1418"/>
        </w:tabs>
        <w:spacing w:after="0"/>
        <w:rPr>
          <w:rFonts w:eastAsia="Times New Roman" w:cs="Arial"/>
          <w:b/>
          <w:lang w:eastAsia="en-GB"/>
        </w:rPr>
      </w:pPr>
      <w:r w:rsidRPr="00B61F6C">
        <w:rPr>
          <w:rFonts w:eastAsia="Times New Roman" w:cs="Arial"/>
          <w:lang w:eastAsia="en-GB"/>
        </w:rPr>
        <w:t xml:space="preserve">The revenue position includes a </w:t>
      </w:r>
      <w:r w:rsidRPr="00C51D54">
        <w:rPr>
          <w:rFonts w:eastAsia="Times New Roman" w:cs="Arial"/>
          <w:lang w:eastAsia="en-GB"/>
        </w:rPr>
        <w:t xml:space="preserve">planned contribution to reserves of £1.358m as agreed in the </w:t>
      </w:r>
      <w:r>
        <w:rPr>
          <w:rFonts w:eastAsia="Times New Roman" w:cs="Arial"/>
          <w:lang w:eastAsia="en-GB"/>
        </w:rPr>
        <w:t>20</w:t>
      </w:r>
      <w:r w:rsidRPr="00C51D54">
        <w:rPr>
          <w:rFonts w:eastAsia="Times New Roman" w:cs="Arial"/>
          <w:lang w:eastAsia="en-GB"/>
        </w:rPr>
        <w:t xml:space="preserve">20/21 budget setting process </w:t>
      </w:r>
    </w:p>
    <w:p w14:paraId="6A2D1AC9" w14:textId="77777777" w:rsidR="00D10794" w:rsidRPr="00C529BF" w:rsidRDefault="00D10794" w:rsidP="00D10794">
      <w:pPr>
        <w:tabs>
          <w:tab w:val="left" w:pos="851"/>
          <w:tab w:val="left" w:pos="1418"/>
        </w:tabs>
        <w:spacing w:after="0"/>
        <w:rPr>
          <w:highlight w:val="yellow"/>
        </w:rPr>
      </w:pPr>
    </w:p>
    <w:p w14:paraId="5F6973F6" w14:textId="4D216966" w:rsidR="00D10794" w:rsidRPr="00C22E32" w:rsidRDefault="00D10794" w:rsidP="00D10794">
      <w:pPr>
        <w:tabs>
          <w:tab w:val="left" w:pos="851"/>
          <w:tab w:val="left" w:pos="1418"/>
        </w:tabs>
        <w:spacing w:after="0"/>
      </w:pPr>
      <w:r w:rsidRPr="00C22E32">
        <w:t>Delivery of the savings programme continues to be a key risk area and the savings plans have been subject to review as part of the budget monitoring process throughout 2020/21, however due to the pandemic there have been significant delays in the delivery of savings.</w:t>
      </w:r>
      <w:r w:rsidR="008B7F32">
        <w:t xml:space="preserve"> </w:t>
      </w:r>
      <w:r w:rsidRPr="00C22E32">
        <w:t xml:space="preserve"> As part of the emergency </w:t>
      </w:r>
      <w:r w:rsidR="00AB5726">
        <w:t>C</w:t>
      </w:r>
      <w:r w:rsidRPr="00C22E32">
        <w:t>ovid-19 grant that was awarded to local authorities c£30m has been attributed to delayed savings. However</w:t>
      </w:r>
      <w:r>
        <w:t xml:space="preserve">, </w:t>
      </w:r>
      <w:r w:rsidRPr="00C22E32">
        <w:t>this presents a further financial risk in 2021/22 in addition to a further £</w:t>
      </w:r>
      <w:r>
        <w:t>12.634</w:t>
      </w:r>
      <w:r w:rsidRPr="00C22E32">
        <w:t xml:space="preserve">m of savings that have been agreed to be delivered. </w:t>
      </w:r>
      <w:r w:rsidR="008A67E6">
        <w:t>U</w:t>
      </w:r>
      <w:r w:rsidRPr="00C22E32">
        <w:t xml:space="preserve">pdates </w:t>
      </w:r>
      <w:r w:rsidR="008A67E6">
        <w:t xml:space="preserve">will be </w:t>
      </w:r>
      <w:r w:rsidRPr="00C22E32">
        <w:t xml:space="preserve">provided to </w:t>
      </w:r>
      <w:r>
        <w:t>C</w:t>
      </w:r>
      <w:r w:rsidRPr="00C22E32">
        <w:t xml:space="preserve">abinet through the money matters reports on a quarterly basis. </w:t>
      </w:r>
    </w:p>
    <w:p w14:paraId="6B928BEA" w14:textId="77777777" w:rsidR="00D10794" w:rsidRPr="00C529BF" w:rsidRDefault="00D10794" w:rsidP="00D10794">
      <w:pPr>
        <w:tabs>
          <w:tab w:val="left" w:pos="851"/>
          <w:tab w:val="left" w:pos="1418"/>
        </w:tabs>
        <w:spacing w:after="0"/>
        <w:rPr>
          <w:highlight w:val="yellow"/>
        </w:rPr>
      </w:pPr>
    </w:p>
    <w:p w14:paraId="700E9142" w14:textId="7D469BA0" w:rsidR="00D10794" w:rsidRPr="00D57C6A" w:rsidRDefault="00D10794" w:rsidP="00D10794">
      <w:pPr>
        <w:tabs>
          <w:tab w:val="left" w:pos="851"/>
          <w:tab w:val="left" w:pos="1418"/>
        </w:tabs>
        <w:spacing w:after="0"/>
      </w:pPr>
      <w:r w:rsidRPr="00D57C6A">
        <w:t xml:space="preserve">The impact of </w:t>
      </w:r>
      <w:r w:rsidR="008A67E6">
        <w:t xml:space="preserve">the pandemic has introduced greater uncertainty on both our future costs, given anticipated increasing demand, and funding levels with a longer-term financial settlement expected during 2021/22.  </w:t>
      </w:r>
      <w:r w:rsidRPr="00D57C6A">
        <w:t>We will continue to monitor the impacts via our regular monitoring activity updating our forecast outturn and the MTFS as information and guidance changes. We will report this via CMT and in the regular Money Matters updates.</w:t>
      </w:r>
    </w:p>
    <w:p w14:paraId="79E7778D" w14:textId="77777777" w:rsidR="00D10794" w:rsidRPr="00C529BF" w:rsidRDefault="00D10794" w:rsidP="00D10794">
      <w:pPr>
        <w:tabs>
          <w:tab w:val="left" w:pos="851"/>
          <w:tab w:val="left" w:pos="1418"/>
        </w:tabs>
        <w:spacing w:after="0"/>
        <w:rPr>
          <w:highlight w:val="yellow"/>
        </w:rPr>
      </w:pPr>
    </w:p>
    <w:p w14:paraId="3FE24FB0" w14:textId="77777777" w:rsidR="00D10794" w:rsidRPr="00C529BF" w:rsidRDefault="00D10794" w:rsidP="00D10794">
      <w:pPr>
        <w:tabs>
          <w:tab w:val="left" w:pos="851"/>
          <w:tab w:val="left" w:pos="1418"/>
        </w:tabs>
        <w:spacing w:after="0"/>
        <w:rPr>
          <w:highlight w:val="yellow"/>
        </w:rPr>
      </w:pPr>
      <w:r w:rsidRPr="00C529BF">
        <w:rPr>
          <w:highlight w:val="yellow"/>
        </w:rPr>
        <w:br w:type="page"/>
      </w:r>
    </w:p>
    <w:p w14:paraId="6817E954" w14:textId="77777777" w:rsidR="00D10794" w:rsidRDefault="00D10794" w:rsidP="00D10794">
      <w:pPr>
        <w:spacing w:after="0"/>
        <w:rPr>
          <w:b/>
        </w:rPr>
      </w:pPr>
      <w:r w:rsidRPr="009F5760">
        <w:rPr>
          <w:b/>
        </w:rPr>
        <w:lastRenderedPageBreak/>
        <w:t>2. Revenue Budget Outturn 20</w:t>
      </w:r>
      <w:r>
        <w:rPr>
          <w:b/>
        </w:rPr>
        <w:t>20</w:t>
      </w:r>
      <w:r w:rsidRPr="009F5760">
        <w:rPr>
          <w:b/>
        </w:rPr>
        <w:t>/2</w:t>
      </w:r>
      <w:r>
        <w:rPr>
          <w:b/>
        </w:rPr>
        <w:t>1</w:t>
      </w:r>
      <w:r w:rsidRPr="009F5760">
        <w:rPr>
          <w:b/>
        </w:rPr>
        <w:t xml:space="preserve"> Summary Table</w:t>
      </w:r>
    </w:p>
    <w:p w14:paraId="785F25E9" w14:textId="77777777" w:rsidR="00D10794" w:rsidRDefault="00D10794" w:rsidP="00D10794">
      <w:pPr>
        <w:spacing w:after="0"/>
        <w:rPr>
          <w:b/>
        </w:rPr>
      </w:pPr>
    </w:p>
    <w:tbl>
      <w:tblPr>
        <w:tblW w:w="9558" w:type="dxa"/>
        <w:tblLayout w:type="fixed"/>
        <w:tblLook w:val="04A0" w:firstRow="1" w:lastRow="0" w:firstColumn="1" w:lastColumn="0" w:noHBand="0" w:noVBand="1"/>
      </w:tblPr>
      <w:tblGrid>
        <w:gridCol w:w="3534"/>
        <w:gridCol w:w="1204"/>
        <w:gridCol w:w="1205"/>
        <w:gridCol w:w="1205"/>
        <w:gridCol w:w="1205"/>
        <w:gridCol w:w="1205"/>
      </w:tblGrid>
      <w:tr w:rsidR="002F12B1" w14:paraId="70AFB55A" w14:textId="77777777" w:rsidTr="00D10794">
        <w:trPr>
          <w:trHeight w:val="707"/>
        </w:trPr>
        <w:tc>
          <w:tcPr>
            <w:tcW w:w="353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53E5926" w14:textId="77777777" w:rsidR="00D10794" w:rsidRPr="009F5760" w:rsidRDefault="00D10794" w:rsidP="00D10794">
            <w:pPr>
              <w:autoSpaceDE/>
              <w:autoSpaceDN/>
              <w:adjustRightInd/>
              <w:spacing w:after="0"/>
              <w:jc w:val="center"/>
              <w:rPr>
                <w:rFonts w:eastAsia="Times New Roman" w:cs="Arial"/>
                <w:b/>
                <w:bCs/>
                <w:sz w:val="20"/>
                <w:szCs w:val="20"/>
                <w:lang w:eastAsia="en-GB"/>
              </w:rPr>
            </w:pPr>
            <w:bookmarkStart w:id="1" w:name="_Hlk71743623"/>
            <w:r w:rsidRPr="009F5760">
              <w:rPr>
                <w:rFonts w:eastAsia="Times New Roman" w:cs="Arial"/>
                <w:b/>
                <w:bCs/>
                <w:sz w:val="20"/>
                <w:szCs w:val="20"/>
                <w:lang w:eastAsia="en-GB"/>
              </w:rPr>
              <w:t>Service Area</w:t>
            </w:r>
          </w:p>
        </w:tc>
        <w:tc>
          <w:tcPr>
            <w:tcW w:w="1204" w:type="dxa"/>
            <w:tcBorders>
              <w:top w:val="single" w:sz="8" w:space="0" w:color="auto"/>
              <w:left w:val="nil"/>
              <w:bottom w:val="single" w:sz="4" w:space="0" w:color="auto"/>
              <w:right w:val="single" w:sz="4" w:space="0" w:color="auto"/>
            </w:tcBorders>
            <w:shd w:val="clear" w:color="000000" w:fill="D9D9D9"/>
            <w:vAlign w:val="center"/>
            <w:hideMark/>
          </w:tcPr>
          <w:p w14:paraId="73EEEA3B"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Approved Net Budget </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2F9CDB23"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Net Outturn </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2F8F9160"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31C8EA8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03DA81BC"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Q3 Forecast Variance</w:t>
            </w:r>
          </w:p>
        </w:tc>
      </w:tr>
      <w:tr w:rsidR="002F12B1" w14:paraId="1C38910F" w14:textId="77777777" w:rsidTr="00D10794">
        <w:trPr>
          <w:trHeight w:val="277"/>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1FCD3668"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w:t>
            </w:r>
          </w:p>
        </w:tc>
        <w:tc>
          <w:tcPr>
            <w:tcW w:w="1204" w:type="dxa"/>
            <w:tcBorders>
              <w:top w:val="nil"/>
              <w:left w:val="nil"/>
              <w:bottom w:val="single" w:sz="4" w:space="0" w:color="auto"/>
              <w:right w:val="single" w:sz="4" w:space="0" w:color="auto"/>
            </w:tcBorders>
            <w:shd w:val="clear" w:color="000000" w:fill="D9D9D9"/>
            <w:vAlign w:val="center"/>
            <w:hideMark/>
          </w:tcPr>
          <w:p w14:paraId="1EACFF3D"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205" w:type="dxa"/>
            <w:tcBorders>
              <w:top w:val="nil"/>
              <w:left w:val="nil"/>
              <w:bottom w:val="single" w:sz="4" w:space="0" w:color="auto"/>
              <w:right w:val="single" w:sz="4" w:space="0" w:color="auto"/>
            </w:tcBorders>
            <w:shd w:val="clear" w:color="000000" w:fill="D9D9D9"/>
            <w:vAlign w:val="center"/>
            <w:hideMark/>
          </w:tcPr>
          <w:p w14:paraId="6DC87743"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205" w:type="dxa"/>
            <w:tcBorders>
              <w:top w:val="nil"/>
              <w:left w:val="nil"/>
              <w:bottom w:val="single" w:sz="4" w:space="0" w:color="auto"/>
              <w:right w:val="single" w:sz="4" w:space="0" w:color="auto"/>
            </w:tcBorders>
            <w:shd w:val="clear" w:color="000000" w:fill="D9D9D9"/>
            <w:vAlign w:val="center"/>
            <w:hideMark/>
          </w:tcPr>
          <w:p w14:paraId="3E9436B5"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205" w:type="dxa"/>
            <w:tcBorders>
              <w:top w:val="nil"/>
              <w:left w:val="nil"/>
              <w:bottom w:val="single" w:sz="4" w:space="0" w:color="auto"/>
              <w:right w:val="single" w:sz="4" w:space="0" w:color="auto"/>
            </w:tcBorders>
            <w:shd w:val="clear" w:color="000000" w:fill="D9D9D9"/>
            <w:vAlign w:val="center"/>
            <w:hideMark/>
          </w:tcPr>
          <w:p w14:paraId="570390D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w:t>
            </w:r>
          </w:p>
        </w:tc>
        <w:tc>
          <w:tcPr>
            <w:tcW w:w="1205" w:type="dxa"/>
            <w:tcBorders>
              <w:top w:val="nil"/>
              <w:left w:val="nil"/>
              <w:bottom w:val="single" w:sz="4" w:space="0" w:color="auto"/>
              <w:right w:val="single" w:sz="4" w:space="0" w:color="auto"/>
            </w:tcBorders>
            <w:shd w:val="clear" w:color="000000" w:fill="D9D9D9"/>
            <w:vAlign w:val="center"/>
            <w:hideMark/>
          </w:tcPr>
          <w:p w14:paraId="3ED8BF88"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r>
      <w:tr w:rsidR="002F12B1" w14:paraId="3F23B71C" w14:textId="77777777" w:rsidTr="00D10794">
        <w:trPr>
          <w:trHeight w:val="277"/>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4121BF52"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Adults</w:t>
            </w:r>
          </w:p>
        </w:tc>
        <w:tc>
          <w:tcPr>
            <w:tcW w:w="1204" w:type="dxa"/>
            <w:tcBorders>
              <w:top w:val="nil"/>
              <w:left w:val="nil"/>
              <w:bottom w:val="single" w:sz="4" w:space="0" w:color="auto"/>
              <w:right w:val="single" w:sz="4" w:space="0" w:color="auto"/>
            </w:tcBorders>
            <w:shd w:val="clear" w:color="auto" w:fill="auto"/>
            <w:vAlign w:val="center"/>
            <w:hideMark/>
          </w:tcPr>
          <w:p w14:paraId="46B5829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364.609</w:t>
            </w:r>
          </w:p>
        </w:tc>
        <w:tc>
          <w:tcPr>
            <w:tcW w:w="1205" w:type="dxa"/>
            <w:tcBorders>
              <w:top w:val="nil"/>
              <w:left w:val="nil"/>
              <w:bottom w:val="single" w:sz="4" w:space="0" w:color="auto"/>
              <w:right w:val="single" w:sz="4" w:space="0" w:color="auto"/>
            </w:tcBorders>
            <w:shd w:val="clear" w:color="auto" w:fill="auto"/>
            <w:vAlign w:val="center"/>
            <w:hideMark/>
          </w:tcPr>
          <w:p w14:paraId="3C5F672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348.73</w:t>
            </w:r>
            <w:r>
              <w:rPr>
                <w:rFonts w:eastAsia="Times New Roman" w:cs="Arial"/>
                <w:sz w:val="20"/>
                <w:szCs w:val="20"/>
                <w:lang w:eastAsia="en-GB"/>
              </w:rPr>
              <w:t>9</w:t>
            </w:r>
          </w:p>
        </w:tc>
        <w:tc>
          <w:tcPr>
            <w:tcW w:w="1205" w:type="dxa"/>
            <w:tcBorders>
              <w:top w:val="nil"/>
              <w:left w:val="nil"/>
              <w:bottom w:val="single" w:sz="4" w:space="0" w:color="auto"/>
              <w:right w:val="single" w:sz="4" w:space="0" w:color="auto"/>
            </w:tcBorders>
            <w:shd w:val="clear" w:color="000000" w:fill="D9D9D9"/>
            <w:vAlign w:val="center"/>
            <w:hideMark/>
          </w:tcPr>
          <w:p w14:paraId="3304C83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-15.87</w:t>
            </w:r>
            <w:r>
              <w:rPr>
                <w:rFonts w:eastAsia="Times New Roman" w:cs="Arial"/>
                <w:sz w:val="20"/>
                <w:szCs w:val="20"/>
                <w:lang w:eastAsia="en-GB"/>
              </w:rPr>
              <w:t>0</w:t>
            </w:r>
          </w:p>
        </w:tc>
        <w:tc>
          <w:tcPr>
            <w:tcW w:w="1205" w:type="dxa"/>
            <w:tcBorders>
              <w:top w:val="nil"/>
              <w:left w:val="nil"/>
              <w:bottom w:val="single" w:sz="4" w:space="0" w:color="auto"/>
              <w:right w:val="single" w:sz="4" w:space="0" w:color="auto"/>
            </w:tcBorders>
            <w:shd w:val="clear" w:color="auto" w:fill="auto"/>
            <w:vAlign w:val="center"/>
            <w:hideMark/>
          </w:tcPr>
          <w:p w14:paraId="5980B9C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-4.35%</w:t>
            </w:r>
          </w:p>
        </w:tc>
        <w:tc>
          <w:tcPr>
            <w:tcW w:w="1205" w:type="dxa"/>
            <w:tcBorders>
              <w:top w:val="nil"/>
              <w:left w:val="nil"/>
              <w:bottom w:val="single" w:sz="4" w:space="0" w:color="auto"/>
              <w:right w:val="single" w:sz="4" w:space="0" w:color="auto"/>
            </w:tcBorders>
            <w:shd w:val="clear" w:color="000000" w:fill="D9D9D9"/>
            <w:vAlign w:val="center"/>
            <w:hideMark/>
          </w:tcPr>
          <w:p w14:paraId="3A64913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-1.170</w:t>
            </w:r>
          </w:p>
        </w:tc>
      </w:tr>
      <w:tr w:rsidR="002F12B1" w14:paraId="77B3D3FB" w14:textId="77777777" w:rsidTr="00D10794">
        <w:trPr>
          <w:trHeight w:val="637"/>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583475A0"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 xml:space="preserve">Policy, Information, Commissioning </w:t>
            </w:r>
            <w:r>
              <w:rPr>
                <w:rFonts w:eastAsia="Times New Roman" w:cs="Arial"/>
                <w:b/>
                <w:bCs/>
                <w:sz w:val="20"/>
                <w:szCs w:val="20"/>
                <w:lang w:eastAsia="en-GB"/>
              </w:rPr>
              <w:t>a</w:t>
            </w:r>
            <w:r w:rsidRPr="009F5760">
              <w:rPr>
                <w:rFonts w:eastAsia="Times New Roman" w:cs="Arial"/>
                <w:b/>
                <w:bCs/>
                <w:sz w:val="20"/>
                <w:szCs w:val="20"/>
                <w:lang w:eastAsia="en-GB"/>
              </w:rPr>
              <w:t>nd Safeguarding</w:t>
            </w:r>
          </w:p>
        </w:tc>
        <w:tc>
          <w:tcPr>
            <w:tcW w:w="1204" w:type="dxa"/>
            <w:tcBorders>
              <w:top w:val="nil"/>
              <w:left w:val="nil"/>
              <w:bottom w:val="single" w:sz="4" w:space="0" w:color="auto"/>
              <w:right w:val="single" w:sz="4" w:space="0" w:color="auto"/>
            </w:tcBorders>
            <w:shd w:val="clear" w:color="auto" w:fill="auto"/>
            <w:vAlign w:val="center"/>
            <w:hideMark/>
          </w:tcPr>
          <w:p w14:paraId="6F916DC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7.609</w:t>
            </w:r>
          </w:p>
        </w:tc>
        <w:tc>
          <w:tcPr>
            <w:tcW w:w="1205" w:type="dxa"/>
            <w:tcBorders>
              <w:top w:val="nil"/>
              <w:left w:val="nil"/>
              <w:bottom w:val="single" w:sz="4" w:space="0" w:color="auto"/>
              <w:right w:val="single" w:sz="4" w:space="0" w:color="auto"/>
            </w:tcBorders>
            <w:shd w:val="clear" w:color="auto" w:fill="auto"/>
            <w:vAlign w:val="center"/>
            <w:hideMark/>
          </w:tcPr>
          <w:p w14:paraId="392CCE9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7.744</w:t>
            </w:r>
          </w:p>
        </w:tc>
        <w:tc>
          <w:tcPr>
            <w:tcW w:w="1205" w:type="dxa"/>
            <w:tcBorders>
              <w:top w:val="nil"/>
              <w:left w:val="nil"/>
              <w:bottom w:val="single" w:sz="4" w:space="0" w:color="auto"/>
              <w:right w:val="single" w:sz="4" w:space="0" w:color="auto"/>
            </w:tcBorders>
            <w:shd w:val="clear" w:color="000000" w:fill="D9D9D9"/>
            <w:vAlign w:val="center"/>
            <w:hideMark/>
          </w:tcPr>
          <w:p w14:paraId="06FE87B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0.135</w:t>
            </w:r>
          </w:p>
        </w:tc>
        <w:tc>
          <w:tcPr>
            <w:tcW w:w="1205" w:type="dxa"/>
            <w:tcBorders>
              <w:top w:val="nil"/>
              <w:left w:val="nil"/>
              <w:bottom w:val="single" w:sz="4" w:space="0" w:color="auto"/>
              <w:right w:val="single" w:sz="4" w:space="0" w:color="auto"/>
            </w:tcBorders>
            <w:shd w:val="clear" w:color="auto" w:fill="auto"/>
            <w:vAlign w:val="center"/>
            <w:hideMark/>
          </w:tcPr>
          <w:p w14:paraId="6DA86F6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1.77%</w:t>
            </w:r>
          </w:p>
        </w:tc>
        <w:tc>
          <w:tcPr>
            <w:tcW w:w="1205" w:type="dxa"/>
            <w:tcBorders>
              <w:top w:val="nil"/>
              <w:left w:val="nil"/>
              <w:bottom w:val="single" w:sz="4" w:space="0" w:color="auto"/>
              <w:right w:val="single" w:sz="4" w:space="0" w:color="auto"/>
            </w:tcBorders>
            <w:shd w:val="clear" w:color="000000" w:fill="D9D9D9"/>
            <w:vAlign w:val="center"/>
            <w:hideMark/>
          </w:tcPr>
          <w:p w14:paraId="71C6EE6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0.078</w:t>
            </w:r>
          </w:p>
        </w:tc>
      </w:tr>
      <w:tr w:rsidR="002F12B1" w14:paraId="3CFF3C56" w14:textId="77777777" w:rsidTr="00D10794">
        <w:trPr>
          <w:trHeight w:val="291"/>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48D82ECE" w14:textId="77777777" w:rsidR="00D10794" w:rsidRPr="009F5760" w:rsidRDefault="00D10794" w:rsidP="00D10794">
            <w:pPr>
              <w:autoSpaceDE/>
              <w:autoSpaceDN/>
              <w:adjustRightInd/>
              <w:spacing w:after="0"/>
              <w:jc w:val="left"/>
              <w:rPr>
                <w:rFonts w:eastAsia="Times New Roman" w:cs="Arial"/>
                <w:b/>
                <w:bCs/>
                <w:color w:val="auto"/>
                <w:sz w:val="20"/>
                <w:szCs w:val="20"/>
                <w:lang w:eastAsia="en-GB"/>
              </w:rPr>
            </w:pPr>
            <w:r w:rsidRPr="009F5760">
              <w:rPr>
                <w:rFonts w:eastAsia="Times New Roman" w:cs="Arial"/>
                <w:b/>
                <w:bCs/>
                <w:color w:val="auto"/>
                <w:sz w:val="20"/>
                <w:szCs w:val="20"/>
                <w:lang w:eastAsia="en-GB"/>
              </w:rPr>
              <w:t>Public Health &amp; Wellbeing</w:t>
            </w:r>
          </w:p>
        </w:tc>
        <w:tc>
          <w:tcPr>
            <w:tcW w:w="1204" w:type="dxa"/>
            <w:tcBorders>
              <w:top w:val="nil"/>
              <w:left w:val="nil"/>
              <w:bottom w:val="single" w:sz="4" w:space="0" w:color="auto"/>
              <w:right w:val="single" w:sz="4" w:space="0" w:color="auto"/>
            </w:tcBorders>
            <w:shd w:val="clear" w:color="auto" w:fill="auto"/>
            <w:vAlign w:val="center"/>
            <w:hideMark/>
          </w:tcPr>
          <w:p w14:paraId="288880F6" w14:textId="77777777" w:rsidR="00D10794" w:rsidRPr="009F5760" w:rsidRDefault="00D10794" w:rsidP="00D10794">
            <w:pPr>
              <w:autoSpaceDE/>
              <w:autoSpaceDN/>
              <w:adjustRightInd/>
              <w:spacing w:after="0"/>
              <w:jc w:val="right"/>
              <w:rPr>
                <w:rFonts w:eastAsia="Times New Roman" w:cs="Arial"/>
                <w:color w:val="auto"/>
                <w:sz w:val="20"/>
                <w:szCs w:val="20"/>
                <w:lang w:eastAsia="en-GB"/>
              </w:rPr>
            </w:pPr>
            <w:r w:rsidRPr="009F5760">
              <w:rPr>
                <w:rFonts w:eastAsia="Times New Roman" w:cs="Arial"/>
                <w:color w:val="auto"/>
                <w:sz w:val="20"/>
                <w:szCs w:val="20"/>
                <w:lang w:eastAsia="en-GB"/>
              </w:rPr>
              <w:t>-5.255</w:t>
            </w:r>
          </w:p>
        </w:tc>
        <w:tc>
          <w:tcPr>
            <w:tcW w:w="1205" w:type="dxa"/>
            <w:tcBorders>
              <w:top w:val="nil"/>
              <w:left w:val="nil"/>
              <w:bottom w:val="single" w:sz="4" w:space="0" w:color="auto"/>
              <w:right w:val="single" w:sz="4" w:space="0" w:color="auto"/>
            </w:tcBorders>
            <w:shd w:val="clear" w:color="auto" w:fill="auto"/>
            <w:vAlign w:val="center"/>
            <w:hideMark/>
          </w:tcPr>
          <w:p w14:paraId="17C814F7" w14:textId="77777777" w:rsidR="00D10794" w:rsidRPr="009F5760" w:rsidRDefault="00D10794" w:rsidP="00D10794">
            <w:pPr>
              <w:autoSpaceDE/>
              <w:autoSpaceDN/>
              <w:adjustRightInd/>
              <w:spacing w:after="0"/>
              <w:jc w:val="right"/>
              <w:rPr>
                <w:rFonts w:eastAsia="Times New Roman" w:cs="Arial"/>
                <w:color w:val="auto"/>
                <w:sz w:val="20"/>
                <w:szCs w:val="20"/>
                <w:lang w:eastAsia="en-GB"/>
              </w:rPr>
            </w:pPr>
            <w:r w:rsidRPr="009F5760">
              <w:rPr>
                <w:rFonts w:eastAsia="Times New Roman" w:cs="Arial"/>
                <w:color w:val="auto"/>
                <w:sz w:val="20"/>
                <w:szCs w:val="20"/>
                <w:lang w:eastAsia="en-GB"/>
              </w:rPr>
              <w:t>-5.081</w:t>
            </w:r>
          </w:p>
        </w:tc>
        <w:tc>
          <w:tcPr>
            <w:tcW w:w="1205" w:type="dxa"/>
            <w:tcBorders>
              <w:top w:val="nil"/>
              <w:left w:val="nil"/>
              <w:bottom w:val="single" w:sz="4" w:space="0" w:color="auto"/>
              <w:right w:val="single" w:sz="4" w:space="0" w:color="auto"/>
            </w:tcBorders>
            <w:shd w:val="clear" w:color="000000" w:fill="D9D9D9"/>
            <w:vAlign w:val="center"/>
            <w:hideMark/>
          </w:tcPr>
          <w:p w14:paraId="71D91906" w14:textId="77777777" w:rsidR="00D10794" w:rsidRPr="009F5760" w:rsidRDefault="00D10794" w:rsidP="00D10794">
            <w:pPr>
              <w:autoSpaceDE/>
              <w:autoSpaceDN/>
              <w:adjustRightInd/>
              <w:spacing w:after="0"/>
              <w:jc w:val="right"/>
              <w:rPr>
                <w:rFonts w:eastAsia="Times New Roman" w:cs="Arial"/>
                <w:color w:val="auto"/>
                <w:sz w:val="20"/>
                <w:szCs w:val="20"/>
                <w:lang w:eastAsia="en-GB"/>
              </w:rPr>
            </w:pPr>
            <w:r w:rsidRPr="009F5760">
              <w:rPr>
                <w:rFonts w:eastAsia="Times New Roman" w:cs="Arial"/>
                <w:color w:val="auto"/>
                <w:sz w:val="20"/>
                <w:szCs w:val="20"/>
                <w:lang w:eastAsia="en-GB"/>
              </w:rPr>
              <w:t>0.174</w:t>
            </w:r>
          </w:p>
        </w:tc>
        <w:tc>
          <w:tcPr>
            <w:tcW w:w="1205" w:type="dxa"/>
            <w:tcBorders>
              <w:top w:val="nil"/>
              <w:left w:val="nil"/>
              <w:bottom w:val="single" w:sz="4" w:space="0" w:color="auto"/>
              <w:right w:val="single" w:sz="4" w:space="0" w:color="auto"/>
            </w:tcBorders>
            <w:shd w:val="clear" w:color="auto" w:fill="auto"/>
            <w:vAlign w:val="center"/>
            <w:hideMark/>
          </w:tcPr>
          <w:p w14:paraId="30A1FE75" w14:textId="77777777" w:rsidR="00D10794" w:rsidRPr="009F5760" w:rsidRDefault="00D10794" w:rsidP="00D10794">
            <w:pPr>
              <w:autoSpaceDE/>
              <w:autoSpaceDN/>
              <w:adjustRightInd/>
              <w:spacing w:after="0"/>
              <w:jc w:val="right"/>
              <w:rPr>
                <w:rFonts w:eastAsia="Times New Roman" w:cs="Arial"/>
                <w:color w:val="auto"/>
                <w:sz w:val="20"/>
                <w:szCs w:val="20"/>
                <w:lang w:eastAsia="en-GB"/>
              </w:rPr>
            </w:pPr>
            <w:r w:rsidRPr="009F5760">
              <w:rPr>
                <w:rFonts w:eastAsia="Times New Roman" w:cs="Arial"/>
                <w:color w:val="auto"/>
                <w:sz w:val="20"/>
                <w:szCs w:val="20"/>
                <w:lang w:eastAsia="en-GB"/>
              </w:rPr>
              <w:t>3.30%</w:t>
            </w:r>
          </w:p>
        </w:tc>
        <w:tc>
          <w:tcPr>
            <w:tcW w:w="1205" w:type="dxa"/>
            <w:tcBorders>
              <w:top w:val="nil"/>
              <w:left w:val="nil"/>
              <w:bottom w:val="single" w:sz="4" w:space="0" w:color="auto"/>
              <w:right w:val="single" w:sz="4" w:space="0" w:color="auto"/>
            </w:tcBorders>
            <w:shd w:val="clear" w:color="000000" w:fill="D9D9D9"/>
            <w:vAlign w:val="center"/>
            <w:hideMark/>
          </w:tcPr>
          <w:p w14:paraId="51AB8AF8" w14:textId="77777777" w:rsidR="00D10794" w:rsidRPr="009F5760" w:rsidRDefault="00D10794" w:rsidP="00D10794">
            <w:pPr>
              <w:autoSpaceDE/>
              <w:autoSpaceDN/>
              <w:adjustRightInd/>
              <w:spacing w:after="0"/>
              <w:jc w:val="right"/>
              <w:rPr>
                <w:rFonts w:eastAsia="Times New Roman" w:cs="Arial"/>
                <w:color w:val="auto"/>
                <w:sz w:val="20"/>
                <w:szCs w:val="20"/>
                <w:lang w:eastAsia="en-GB"/>
              </w:rPr>
            </w:pPr>
            <w:r w:rsidRPr="009F5760">
              <w:rPr>
                <w:rFonts w:eastAsia="Times New Roman" w:cs="Arial"/>
                <w:color w:val="auto"/>
                <w:sz w:val="20"/>
                <w:szCs w:val="20"/>
                <w:lang w:eastAsia="en-GB"/>
              </w:rPr>
              <w:t>0.776</w:t>
            </w:r>
          </w:p>
        </w:tc>
      </w:tr>
      <w:tr w:rsidR="002F12B1" w14:paraId="0164E2E5" w14:textId="77777777" w:rsidTr="00D10794">
        <w:trPr>
          <w:trHeight w:val="568"/>
        </w:trPr>
        <w:tc>
          <w:tcPr>
            <w:tcW w:w="353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6BA8CD4"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Education and Children's Services</w:t>
            </w:r>
          </w:p>
        </w:tc>
        <w:tc>
          <w:tcPr>
            <w:tcW w:w="1204" w:type="dxa"/>
            <w:tcBorders>
              <w:top w:val="single" w:sz="8" w:space="0" w:color="auto"/>
              <w:left w:val="nil"/>
              <w:bottom w:val="single" w:sz="4" w:space="0" w:color="auto"/>
              <w:right w:val="single" w:sz="4" w:space="0" w:color="auto"/>
            </w:tcBorders>
            <w:shd w:val="clear" w:color="auto" w:fill="auto"/>
            <w:vAlign w:val="center"/>
            <w:hideMark/>
          </w:tcPr>
          <w:p w14:paraId="5DB975D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200.377</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14:paraId="2EEA5DE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201.679</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7020FB2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1.302</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14:paraId="3C4FBC4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0.65%</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59F75AD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-0.251</w:t>
            </w:r>
          </w:p>
        </w:tc>
      </w:tr>
      <w:tr w:rsidR="002F12B1" w14:paraId="2543D5B2" w14:textId="77777777" w:rsidTr="00D10794">
        <w:trPr>
          <w:trHeight w:val="277"/>
        </w:trPr>
        <w:tc>
          <w:tcPr>
            <w:tcW w:w="353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661172D"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Growth, Environment &amp; Planning</w:t>
            </w:r>
          </w:p>
        </w:tc>
        <w:tc>
          <w:tcPr>
            <w:tcW w:w="1204" w:type="dxa"/>
            <w:tcBorders>
              <w:top w:val="single" w:sz="8" w:space="0" w:color="auto"/>
              <w:left w:val="nil"/>
              <w:bottom w:val="single" w:sz="4" w:space="0" w:color="auto"/>
              <w:right w:val="single" w:sz="4" w:space="0" w:color="auto"/>
            </w:tcBorders>
            <w:shd w:val="clear" w:color="auto" w:fill="auto"/>
            <w:vAlign w:val="center"/>
            <w:hideMark/>
          </w:tcPr>
          <w:p w14:paraId="25C2E4B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4.868</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14:paraId="40CD8E9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7.28</w:t>
            </w:r>
            <w:r>
              <w:rPr>
                <w:rFonts w:eastAsia="Times New Roman" w:cs="Arial"/>
                <w:sz w:val="20"/>
                <w:szCs w:val="20"/>
                <w:lang w:eastAsia="en-GB"/>
              </w:rPr>
              <w:t>4</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28E354D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2.41</w:t>
            </w:r>
            <w:r>
              <w:rPr>
                <w:rFonts w:eastAsia="Times New Roman" w:cs="Arial"/>
                <w:sz w:val="20"/>
                <w:szCs w:val="20"/>
                <w:lang w:eastAsia="en-GB"/>
              </w:rPr>
              <w:t>6</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14:paraId="3439829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49.62%</w:t>
            </w:r>
          </w:p>
        </w:tc>
        <w:tc>
          <w:tcPr>
            <w:tcW w:w="1205" w:type="dxa"/>
            <w:tcBorders>
              <w:top w:val="single" w:sz="8" w:space="0" w:color="auto"/>
              <w:left w:val="nil"/>
              <w:bottom w:val="single" w:sz="4" w:space="0" w:color="auto"/>
              <w:right w:val="single" w:sz="4" w:space="0" w:color="auto"/>
            </w:tcBorders>
            <w:shd w:val="clear" w:color="000000" w:fill="D9D9D9"/>
            <w:vAlign w:val="center"/>
            <w:hideMark/>
          </w:tcPr>
          <w:p w14:paraId="1D5371D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-0.153</w:t>
            </w:r>
          </w:p>
        </w:tc>
      </w:tr>
      <w:tr w:rsidR="002F12B1" w14:paraId="7C56E4B4" w14:textId="77777777" w:rsidTr="00D10794">
        <w:trPr>
          <w:trHeight w:val="554"/>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3669E029"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Highways and Transport</w:t>
            </w:r>
          </w:p>
        </w:tc>
        <w:tc>
          <w:tcPr>
            <w:tcW w:w="1204" w:type="dxa"/>
            <w:tcBorders>
              <w:top w:val="nil"/>
              <w:left w:val="nil"/>
              <w:bottom w:val="nil"/>
              <w:right w:val="single" w:sz="4" w:space="0" w:color="auto"/>
            </w:tcBorders>
            <w:shd w:val="clear" w:color="auto" w:fill="auto"/>
            <w:vAlign w:val="center"/>
            <w:hideMark/>
          </w:tcPr>
          <w:p w14:paraId="16C95E3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65.595</w:t>
            </w:r>
          </w:p>
        </w:tc>
        <w:tc>
          <w:tcPr>
            <w:tcW w:w="1205" w:type="dxa"/>
            <w:tcBorders>
              <w:top w:val="nil"/>
              <w:left w:val="nil"/>
              <w:bottom w:val="nil"/>
              <w:right w:val="single" w:sz="4" w:space="0" w:color="auto"/>
            </w:tcBorders>
            <w:shd w:val="clear" w:color="auto" w:fill="auto"/>
            <w:vAlign w:val="center"/>
            <w:hideMark/>
          </w:tcPr>
          <w:p w14:paraId="463004E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76.052</w:t>
            </w:r>
          </w:p>
        </w:tc>
        <w:tc>
          <w:tcPr>
            <w:tcW w:w="1205" w:type="dxa"/>
            <w:tcBorders>
              <w:top w:val="nil"/>
              <w:left w:val="nil"/>
              <w:bottom w:val="nil"/>
              <w:right w:val="single" w:sz="4" w:space="0" w:color="auto"/>
            </w:tcBorders>
            <w:shd w:val="clear" w:color="000000" w:fill="D9D9D9"/>
            <w:vAlign w:val="center"/>
            <w:hideMark/>
          </w:tcPr>
          <w:p w14:paraId="3B37D54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10.457</w:t>
            </w:r>
          </w:p>
        </w:tc>
        <w:tc>
          <w:tcPr>
            <w:tcW w:w="1205" w:type="dxa"/>
            <w:tcBorders>
              <w:top w:val="nil"/>
              <w:left w:val="nil"/>
              <w:bottom w:val="nil"/>
              <w:right w:val="single" w:sz="4" w:space="0" w:color="auto"/>
            </w:tcBorders>
            <w:shd w:val="clear" w:color="auto" w:fill="auto"/>
            <w:vAlign w:val="center"/>
            <w:hideMark/>
          </w:tcPr>
          <w:p w14:paraId="67FCC3D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15.94%</w:t>
            </w:r>
          </w:p>
        </w:tc>
        <w:tc>
          <w:tcPr>
            <w:tcW w:w="1205" w:type="dxa"/>
            <w:tcBorders>
              <w:top w:val="nil"/>
              <w:left w:val="nil"/>
              <w:bottom w:val="nil"/>
              <w:right w:val="single" w:sz="4" w:space="0" w:color="auto"/>
            </w:tcBorders>
            <w:shd w:val="clear" w:color="000000" w:fill="D9D9D9"/>
            <w:vAlign w:val="center"/>
            <w:hideMark/>
          </w:tcPr>
          <w:p w14:paraId="66F2669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6.616</w:t>
            </w:r>
          </w:p>
        </w:tc>
      </w:tr>
      <w:tr w:rsidR="002F12B1" w14:paraId="3C365577" w14:textId="77777777" w:rsidTr="00D10794">
        <w:trPr>
          <w:trHeight w:val="277"/>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2C90C786"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Organisational Development</w:t>
            </w:r>
          </w:p>
        </w:tc>
        <w:tc>
          <w:tcPr>
            <w:tcW w:w="1204" w:type="dxa"/>
            <w:tcBorders>
              <w:top w:val="single" w:sz="4" w:space="0" w:color="auto"/>
              <w:left w:val="nil"/>
              <w:bottom w:val="nil"/>
              <w:right w:val="single" w:sz="4" w:space="0" w:color="auto"/>
            </w:tcBorders>
            <w:shd w:val="clear" w:color="auto" w:fill="auto"/>
            <w:vAlign w:val="center"/>
            <w:hideMark/>
          </w:tcPr>
          <w:p w14:paraId="49433C8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2.232</w:t>
            </w:r>
          </w:p>
        </w:tc>
        <w:tc>
          <w:tcPr>
            <w:tcW w:w="1205" w:type="dxa"/>
            <w:tcBorders>
              <w:top w:val="single" w:sz="4" w:space="0" w:color="auto"/>
              <w:left w:val="nil"/>
              <w:bottom w:val="nil"/>
              <w:right w:val="single" w:sz="4" w:space="0" w:color="auto"/>
            </w:tcBorders>
            <w:shd w:val="clear" w:color="auto" w:fill="auto"/>
            <w:vAlign w:val="center"/>
            <w:hideMark/>
          </w:tcPr>
          <w:p w14:paraId="33756FD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1.953</w:t>
            </w:r>
          </w:p>
        </w:tc>
        <w:tc>
          <w:tcPr>
            <w:tcW w:w="1205" w:type="dxa"/>
            <w:tcBorders>
              <w:top w:val="single" w:sz="4" w:space="0" w:color="auto"/>
              <w:left w:val="nil"/>
              <w:bottom w:val="nil"/>
              <w:right w:val="single" w:sz="4" w:space="0" w:color="auto"/>
            </w:tcBorders>
            <w:shd w:val="clear" w:color="000000" w:fill="D9D9D9"/>
            <w:vAlign w:val="center"/>
            <w:hideMark/>
          </w:tcPr>
          <w:p w14:paraId="3B4F72ED"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-0.279</w:t>
            </w:r>
          </w:p>
        </w:tc>
        <w:tc>
          <w:tcPr>
            <w:tcW w:w="1205" w:type="dxa"/>
            <w:tcBorders>
              <w:top w:val="single" w:sz="4" w:space="0" w:color="auto"/>
              <w:left w:val="nil"/>
              <w:bottom w:val="nil"/>
              <w:right w:val="single" w:sz="4" w:space="0" w:color="auto"/>
            </w:tcBorders>
            <w:shd w:val="clear" w:color="auto" w:fill="auto"/>
            <w:vAlign w:val="center"/>
            <w:hideMark/>
          </w:tcPr>
          <w:p w14:paraId="71F8CB4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-12.51%</w:t>
            </w:r>
          </w:p>
        </w:tc>
        <w:tc>
          <w:tcPr>
            <w:tcW w:w="1205" w:type="dxa"/>
            <w:tcBorders>
              <w:top w:val="single" w:sz="4" w:space="0" w:color="auto"/>
              <w:left w:val="nil"/>
              <w:bottom w:val="nil"/>
              <w:right w:val="single" w:sz="4" w:space="0" w:color="auto"/>
            </w:tcBorders>
            <w:shd w:val="clear" w:color="000000" w:fill="D9D9D9"/>
            <w:vAlign w:val="center"/>
            <w:hideMark/>
          </w:tcPr>
          <w:p w14:paraId="709C6E0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-0.084</w:t>
            </w:r>
          </w:p>
        </w:tc>
      </w:tr>
      <w:tr w:rsidR="002F12B1" w14:paraId="1A65D356" w14:textId="77777777" w:rsidTr="00D10794">
        <w:trPr>
          <w:trHeight w:val="291"/>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0B799C5C"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 xml:space="preserve">Waste </w:t>
            </w:r>
            <w:proofErr w:type="spellStart"/>
            <w:r w:rsidRPr="009F5760">
              <w:rPr>
                <w:rFonts w:eastAsia="Times New Roman" w:cs="Arial"/>
                <w:b/>
                <w:bCs/>
                <w:sz w:val="20"/>
                <w:szCs w:val="20"/>
                <w:lang w:eastAsia="en-GB"/>
              </w:rPr>
              <w:t>Mgt</w:t>
            </w:r>
            <w:proofErr w:type="spellEnd"/>
          </w:p>
        </w:tc>
        <w:tc>
          <w:tcPr>
            <w:tcW w:w="1204" w:type="dxa"/>
            <w:tcBorders>
              <w:top w:val="single" w:sz="4" w:space="0" w:color="auto"/>
              <w:left w:val="nil"/>
              <w:bottom w:val="single" w:sz="8" w:space="0" w:color="auto"/>
              <w:right w:val="single" w:sz="4" w:space="0" w:color="auto"/>
            </w:tcBorders>
            <w:shd w:val="clear" w:color="auto" w:fill="auto"/>
            <w:vAlign w:val="center"/>
            <w:hideMark/>
          </w:tcPr>
          <w:p w14:paraId="53703F0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65.957</w:t>
            </w:r>
          </w:p>
        </w:tc>
        <w:tc>
          <w:tcPr>
            <w:tcW w:w="1205" w:type="dxa"/>
            <w:tcBorders>
              <w:top w:val="single" w:sz="4" w:space="0" w:color="auto"/>
              <w:left w:val="nil"/>
              <w:bottom w:val="single" w:sz="8" w:space="0" w:color="auto"/>
              <w:right w:val="single" w:sz="4" w:space="0" w:color="auto"/>
            </w:tcBorders>
            <w:shd w:val="clear" w:color="auto" w:fill="auto"/>
            <w:vAlign w:val="center"/>
            <w:hideMark/>
          </w:tcPr>
          <w:p w14:paraId="142DCB1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63.917</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3BD47D3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-2.040</w:t>
            </w:r>
          </w:p>
        </w:tc>
        <w:tc>
          <w:tcPr>
            <w:tcW w:w="1205" w:type="dxa"/>
            <w:tcBorders>
              <w:top w:val="single" w:sz="4" w:space="0" w:color="auto"/>
              <w:left w:val="nil"/>
              <w:bottom w:val="single" w:sz="8" w:space="0" w:color="auto"/>
              <w:right w:val="single" w:sz="4" w:space="0" w:color="auto"/>
            </w:tcBorders>
            <w:shd w:val="clear" w:color="auto" w:fill="auto"/>
            <w:vAlign w:val="center"/>
            <w:hideMark/>
          </w:tcPr>
          <w:p w14:paraId="61D423E8"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-3.09%</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22726A5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-2.309</w:t>
            </w:r>
          </w:p>
        </w:tc>
      </w:tr>
      <w:tr w:rsidR="002F12B1" w14:paraId="573D7DC8" w14:textId="77777777" w:rsidTr="00D10794">
        <w:trPr>
          <w:trHeight w:val="277"/>
        </w:trPr>
        <w:tc>
          <w:tcPr>
            <w:tcW w:w="353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F695445"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Finance</w:t>
            </w:r>
          </w:p>
        </w:tc>
        <w:tc>
          <w:tcPr>
            <w:tcW w:w="1204" w:type="dxa"/>
            <w:tcBorders>
              <w:top w:val="nil"/>
              <w:left w:val="nil"/>
              <w:bottom w:val="single" w:sz="4" w:space="0" w:color="auto"/>
              <w:right w:val="single" w:sz="4" w:space="0" w:color="auto"/>
            </w:tcBorders>
            <w:shd w:val="clear" w:color="auto" w:fill="auto"/>
            <w:vAlign w:val="center"/>
            <w:hideMark/>
          </w:tcPr>
          <w:p w14:paraId="16D2C69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44.591</w:t>
            </w:r>
          </w:p>
        </w:tc>
        <w:tc>
          <w:tcPr>
            <w:tcW w:w="1205" w:type="dxa"/>
            <w:tcBorders>
              <w:top w:val="nil"/>
              <w:left w:val="nil"/>
              <w:bottom w:val="single" w:sz="4" w:space="0" w:color="auto"/>
              <w:right w:val="single" w:sz="4" w:space="0" w:color="auto"/>
            </w:tcBorders>
            <w:shd w:val="clear" w:color="auto" w:fill="auto"/>
            <w:vAlign w:val="center"/>
            <w:hideMark/>
          </w:tcPr>
          <w:p w14:paraId="2F195B6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44.118</w:t>
            </w:r>
          </w:p>
        </w:tc>
        <w:tc>
          <w:tcPr>
            <w:tcW w:w="1205" w:type="dxa"/>
            <w:tcBorders>
              <w:top w:val="nil"/>
              <w:left w:val="nil"/>
              <w:bottom w:val="single" w:sz="4" w:space="0" w:color="auto"/>
              <w:right w:val="single" w:sz="4" w:space="0" w:color="auto"/>
            </w:tcBorders>
            <w:shd w:val="clear" w:color="000000" w:fill="D9D9D9"/>
            <w:vAlign w:val="center"/>
            <w:hideMark/>
          </w:tcPr>
          <w:p w14:paraId="7AD57D3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-0.473</w:t>
            </w:r>
          </w:p>
        </w:tc>
        <w:tc>
          <w:tcPr>
            <w:tcW w:w="1205" w:type="dxa"/>
            <w:tcBorders>
              <w:top w:val="nil"/>
              <w:left w:val="nil"/>
              <w:bottom w:val="single" w:sz="4" w:space="0" w:color="auto"/>
              <w:right w:val="single" w:sz="4" w:space="0" w:color="auto"/>
            </w:tcBorders>
            <w:shd w:val="clear" w:color="auto" w:fill="auto"/>
            <w:vAlign w:val="center"/>
            <w:hideMark/>
          </w:tcPr>
          <w:p w14:paraId="6B31F3F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-1.06%</w:t>
            </w:r>
          </w:p>
        </w:tc>
        <w:tc>
          <w:tcPr>
            <w:tcW w:w="1205" w:type="dxa"/>
            <w:tcBorders>
              <w:top w:val="nil"/>
              <w:left w:val="nil"/>
              <w:bottom w:val="single" w:sz="4" w:space="0" w:color="auto"/>
              <w:right w:val="single" w:sz="4" w:space="0" w:color="auto"/>
            </w:tcBorders>
            <w:shd w:val="clear" w:color="000000" w:fill="D9D9D9"/>
            <w:vAlign w:val="center"/>
            <w:hideMark/>
          </w:tcPr>
          <w:p w14:paraId="7669E32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-0.186</w:t>
            </w:r>
          </w:p>
        </w:tc>
      </w:tr>
      <w:tr w:rsidR="002F12B1" w14:paraId="61EC67D4" w14:textId="77777777" w:rsidTr="00D10794">
        <w:trPr>
          <w:trHeight w:val="277"/>
        </w:trPr>
        <w:tc>
          <w:tcPr>
            <w:tcW w:w="3534" w:type="dxa"/>
            <w:tcBorders>
              <w:top w:val="nil"/>
              <w:left w:val="single" w:sz="8" w:space="0" w:color="auto"/>
              <w:bottom w:val="single" w:sz="4" w:space="0" w:color="auto"/>
              <w:right w:val="single" w:sz="4" w:space="0" w:color="auto"/>
            </w:tcBorders>
            <w:shd w:val="clear" w:color="000000" w:fill="D9D9D9"/>
            <w:vAlign w:val="center"/>
            <w:hideMark/>
          </w:tcPr>
          <w:p w14:paraId="6D0F374C"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Corporate Services</w:t>
            </w:r>
          </w:p>
        </w:tc>
        <w:tc>
          <w:tcPr>
            <w:tcW w:w="1204" w:type="dxa"/>
            <w:tcBorders>
              <w:top w:val="nil"/>
              <w:left w:val="nil"/>
              <w:bottom w:val="single" w:sz="4" w:space="0" w:color="auto"/>
              <w:right w:val="single" w:sz="4" w:space="0" w:color="auto"/>
            </w:tcBorders>
            <w:shd w:val="clear" w:color="auto" w:fill="auto"/>
            <w:vAlign w:val="center"/>
            <w:hideMark/>
          </w:tcPr>
          <w:p w14:paraId="7BC9500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18.805</w:t>
            </w:r>
          </w:p>
        </w:tc>
        <w:tc>
          <w:tcPr>
            <w:tcW w:w="1205" w:type="dxa"/>
            <w:tcBorders>
              <w:top w:val="nil"/>
              <w:left w:val="nil"/>
              <w:bottom w:val="single" w:sz="4" w:space="0" w:color="auto"/>
              <w:right w:val="single" w:sz="4" w:space="0" w:color="auto"/>
            </w:tcBorders>
            <w:shd w:val="clear" w:color="auto" w:fill="auto"/>
            <w:vAlign w:val="center"/>
            <w:hideMark/>
          </w:tcPr>
          <w:p w14:paraId="7510DCD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19.980</w:t>
            </w:r>
          </w:p>
        </w:tc>
        <w:tc>
          <w:tcPr>
            <w:tcW w:w="1205" w:type="dxa"/>
            <w:tcBorders>
              <w:top w:val="nil"/>
              <w:left w:val="nil"/>
              <w:bottom w:val="single" w:sz="4" w:space="0" w:color="auto"/>
              <w:right w:val="single" w:sz="4" w:space="0" w:color="auto"/>
            </w:tcBorders>
            <w:shd w:val="clear" w:color="000000" w:fill="D9D9D9"/>
            <w:vAlign w:val="center"/>
            <w:hideMark/>
          </w:tcPr>
          <w:p w14:paraId="22F5D18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1.175</w:t>
            </w:r>
          </w:p>
        </w:tc>
        <w:tc>
          <w:tcPr>
            <w:tcW w:w="1205" w:type="dxa"/>
            <w:tcBorders>
              <w:top w:val="nil"/>
              <w:left w:val="nil"/>
              <w:bottom w:val="single" w:sz="4" w:space="0" w:color="auto"/>
              <w:right w:val="single" w:sz="4" w:space="0" w:color="auto"/>
            </w:tcBorders>
            <w:shd w:val="clear" w:color="auto" w:fill="auto"/>
            <w:vAlign w:val="center"/>
            <w:hideMark/>
          </w:tcPr>
          <w:p w14:paraId="4B74917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6.25%</w:t>
            </w:r>
          </w:p>
        </w:tc>
        <w:tc>
          <w:tcPr>
            <w:tcW w:w="1205" w:type="dxa"/>
            <w:tcBorders>
              <w:top w:val="nil"/>
              <w:left w:val="nil"/>
              <w:bottom w:val="single" w:sz="4" w:space="0" w:color="auto"/>
              <w:right w:val="single" w:sz="4" w:space="0" w:color="auto"/>
            </w:tcBorders>
            <w:shd w:val="clear" w:color="000000" w:fill="D9D9D9"/>
            <w:vAlign w:val="center"/>
            <w:hideMark/>
          </w:tcPr>
          <w:p w14:paraId="51FC94F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1.362</w:t>
            </w:r>
          </w:p>
        </w:tc>
      </w:tr>
      <w:tr w:rsidR="002F12B1" w14:paraId="066C38CF" w14:textId="77777777" w:rsidTr="00D10794">
        <w:trPr>
          <w:trHeight w:val="291"/>
        </w:trPr>
        <w:tc>
          <w:tcPr>
            <w:tcW w:w="3534" w:type="dxa"/>
            <w:tcBorders>
              <w:top w:val="nil"/>
              <w:left w:val="single" w:sz="8" w:space="0" w:color="auto"/>
              <w:bottom w:val="nil"/>
              <w:right w:val="single" w:sz="4" w:space="0" w:color="auto"/>
            </w:tcBorders>
            <w:shd w:val="clear" w:color="000000" w:fill="D9D9D9"/>
            <w:vAlign w:val="center"/>
            <w:hideMark/>
          </w:tcPr>
          <w:p w14:paraId="45581984"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Strategy and Performance</w:t>
            </w:r>
          </w:p>
        </w:tc>
        <w:tc>
          <w:tcPr>
            <w:tcW w:w="1204" w:type="dxa"/>
            <w:tcBorders>
              <w:top w:val="nil"/>
              <w:left w:val="nil"/>
              <w:bottom w:val="single" w:sz="4" w:space="0" w:color="auto"/>
              <w:right w:val="single" w:sz="4" w:space="0" w:color="auto"/>
            </w:tcBorders>
            <w:shd w:val="clear" w:color="auto" w:fill="auto"/>
            <w:vAlign w:val="center"/>
            <w:hideMark/>
          </w:tcPr>
          <w:p w14:paraId="5FD7AD3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32.903</w:t>
            </w:r>
          </w:p>
        </w:tc>
        <w:tc>
          <w:tcPr>
            <w:tcW w:w="1205" w:type="dxa"/>
            <w:tcBorders>
              <w:top w:val="nil"/>
              <w:left w:val="nil"/>
              <w:bottom w:val="single" w:sz="4" w:space="0" w:color="auto"/>
              <w:right w:val="single" w:sz="4" w:space="0" w:color="auto"/>
            </w:tcBorders>
            <w:shd w:val="clear" w:color="auto" w:fill="auto"/>
            <w:vAlign w:val="center"/>
            <w:hideMark/>
          </w:tcPr>
          <w:p w14:paraId="701C6BF8"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35.659</w:t>
            </w:r>
          </w:p>
        </w:tc>
        <w:tc>
          <w:tcPr>
            <w:tcW w:w="1205" w:type="dxa"/>
            <w:tcBorders>
              <w:top w:val="nil"/>
              <w:left w:val="nil"/>
              <w:bottom w:val="single" w:sz="4" w:space="0" w:color="auto"/>
              <w:right w:val="single" w:sz="4" w:space="0" w:color="auto"/>
            </w:tcBorders>
            <w:shd w:val="clear" w:color="000000" w:fill="D9D9D9"/>
            <w:vAlign w:val="center"/>
            <w:hideMark/>
          </w:tcPr>
          <w:p w14:paraId="0D66FF4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2.756</w:t>
            </w:r>
          </w:p>
        </w:tc>
        <w:tc>
          <w:tcPr>
            <w:tcW w:w="1205" w:type="dxa"/>
            <w:tcBorders>
              <w:top w:val="nil"/>
              <w:left w:val="nil"/>
              <w:bottom w:val="single" w:sz="4" w:space="0" w:color="auto"/>
              <w:right w:val="single" w:sz="4" w:space="0" w:color="auto"/>
            </w:tcBorders>
            <w:shd w:val="clear" w:color="auto" w:fill="auto"/>
            <w:vAlign w:val="center"/>
            <w:hideMark/>
          </w:tcPr>
          <w:p w14:paraId="435B4BB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8.38%</w:t>
            </w:r>
          </w:p>
        </w:tc>
        <w:tc>
          <w:tcPr>
            <w:tcW w:w="1205" w:type="dxa"/>
            <w:tcBorders>
              <w:top w:val="nil"/>
              <w:left w:val="nil"/>
              <w:bottom w:val="single" w:sz="4" w:space="0" w:color="auto"/>
              <w:right w:val="single" w:sz="4" w:space="0" w:color="auto"/>
            </w:tcBorders>
            <w:shd w:val="clear" w:color="000000" w:fill="D9D9D9"/>
            <w:vAlign w:val="center"/>
            <w:hideMark/>
          </w:tcPr>
          <w:p w14:paraId="2073681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3.559</w:t>
            </w:r>
          </w:p>
        </w:tc>
      </w:tr>
      <w:tr w:rsidR="002F12B1" w14:paraId="01802AA0" w14:textId="77777777" w:rsidTr="00D10794">
        <w:trPr>
          <w:trHeight w:val="277"/>
        </w:trPr>
        <w:tc>
          <w:tcPr>
            <w:tcW w:w="3534" w:type="dxa"/>
            <w:tcBorders>
              <w:top w:val="single" w:sz="8" w:space="0" w:color="auto"/>
              <w:left w:val="single" w:sz="8" w:space="0" w:color="auto"/>
              <w:bottom w:val="nil"/>
              <w:right w:val="single" w:sz="4" w:space="0" w:color="auto"/>
            </w:tcBorders>
            <w:shd w:val="clear" w:color="000000" w:fill="D9D9D9"/>
            <w:vAlign w:val="center"/>
            <w:hideMark/>
          </w:tcPr>
          <w:p w14:paraId="00CC0E82"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Chief Executive Services</w:t>
            </w:r>
          </w:p>
        </w:tc>
        <w:tc>
          <w:tcPr>
            <w:tcW w:w="1204" w:type="dxa"/>
            <w:tcBorders>
              <w:top w:val="single" w:sz="8" w:space="0" w:color="auto"/>
              <w:left w:val="nil"/>
              <w:bottom w:val="nil"/>
              <w:right w:val="single" w:sz="4" w:space="0" w:color="auto"/>
            </w:tcBorders>
            <w:shd w:val="clear" w:color="auto" w:fill="auto"/>
            <w:vAlign w:val="center"/>
            <w:hideMark/>
          </w:tcPr>
          <w:p w14:paraId="2F55324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42.560</w:t>
            </w:r>
          </w:p>
        </w:tc>
        <w:tc>
          <w:tcPr>
            <w:tcW w:w="1205" w:type="dxa"/>
            <w:tcBorders>
              <w:top w:val="single" w:sz="8" w:space="0" w:color="auto"/>
              <w:left w:val="nil"/>
              <w:bottom w:val="nil"/>
              <w:right w:val="single" w:sz="4" w:space="0" w:color="auto"/>
            </w:tcBorders>
            <w:shd w:val="clear" w:color="auto" w:fill="auto"/>
            <w:vAlign w:val="center"/>
            <w:hideMark/>
          </w:tcPr>
          <w:p w14:paraId="72765EE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23.575</w:t>
            </w:r>
          </w:p>
        </w:tc>
        <w:tc>
          <w:tcPr>
            <w:tcW w:w="1205" w:type="dxa"/>
            <w:tcBorders>
              <w:top w:val="single" w:sz="8" w:space="0" w:color="auto"/>
              <w:left w:val="nil"/>
              <w:bottom w:val="nil"/>
              <w:right w:val="single" w:sz="4" w:space="0" w:color="auto"/>
            </w:tcBorders>
            <w:shd w:val="clear" w:color="000000" w:fill="D9D9D9"/>
            <w:vAlign w:val="center"/>
            <w:hideMark/>
          </w:tcPr>
          <w:p w14:paraId="4222AC9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-18.985</w:t>
            </w:r>
          </w:p>
        </w:tc>
        <w:tc>
          <w:tcPr>
            <w:tcW w:w="1205" w:type="dxa"/>
            <w:tcBorders>
              <w:top w:val="single" w:sz="8" w:space="0" w:color="auto"/>
              <w:left w:val="nil"/>
              <w:bottom w:val="nil"/>
              <w:right w:val="single" w:sz="4" w:space="0" w:color="auto"/>
            </w:tcBorders>
            <w:shd w:val="clear" w:color="auto" w:fill="auto"/>
            <w:vAlign w:val="center"/>
            <w:hideMark/>
          </w:tcPr>
          <w:p w14:paraId="47445D7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-44.61%</w:t>
            </w:r>
          </w:p>
        </w:tc>
        <w:tc>
          <w:tcPr>
            <w:tcW w:w="1205" w:type="dxa"/>
            <w:tcBorders>
              <w:top w:val="single" w:sz="8" w:space="0" w:color="auto"/>
              <w:left w:val="nil"/>
              <w:bottom w:val="nil"/>
              <w:right w:val="single" w:sz="4" w:space="0" w:color="auto"/>
            </w:tcBorders>
            <w:shd w:val="clear" w:color="000000" w:fill="D9D9D9"/>
            <w:vAlign w:val="center"/>
            <w:hideMark/>
          </w:tcPr>
          <w:p w14:paraId="24C3AAE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-16.189</w:t>
            </w:r>
          </w:p>
        </w:tc>
      </w:tr>
      <w:tr w:rsidR="002F12B1" w14:paraId="3D5A847F" w14:textId="77777777" w:rsidTr="00D10794">
        <w:trPr>
          <w:trHeight w:val="291"/>
        </w:trPr>
        <w:tc>
          <w:tcPr>
            <w:tcW w:w="3534" w:type="dxa"/>
            <w:tcBorders>
              <w:top w:val="single" w:sz="4" w:space="0" w:color="auto"/>
              <w:left w:val="single" w:sz="8" w:space="0" w:color="auto"/>
              <w:bottom w:val="single" w:sz="8" w:space="0" w:color="auto"/>
              <w:right w:val="single" w:sz="4" w:space="0" w:color="auto"/>
            </w:tcBorders>
            <w:shd w:val="clear" w:color="000000" w:fill="D9D9D9"/>
            <w:vAlign w:val="center"/>
            <w:hideMark/>
          </w:tcPr>
          <w:p w14:paraId="2CEFF346"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w:t>
            </w:r>
          </w:p>
        </w:tc>
        <w:tc>
          <w:tcPr>
            <w:tcW w:w="1204" w:type="dxa"/>
            <w:tcBorders>
              <w:top w:val="single" w:sz="4" w:space="0" w:color="auto"/>
              <w:left w:val="nil"/>
              <w:bottom w:val="single" w:sz="8" w:space="0" w:color="auto"/>
              <w:right w:val="single" w:sz="4" w:space="0" w:color="auto"/>
            </w:tcBorders>
            <w:shd w:val="clear" w:color="000000" w:fill="D9D9D9"/>
            <w:vAlign w:val="center"/>
            <w:hideMark/>
          </w:tcPr>
          <w:p w14:paraId="0C549249"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844.851</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237CAEEF"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825.61</w:t>
            </w:r>
            <w:r>
              <w:rPr>
                <w:rFonts w:eastAsia="Times New Roman" w:cs="Arial"/>
                <w:b/>
                <w:bCs/>
                <w:sz w:val="20"/>
                <w:szCs w:val="20"/>
                <w:lang w:eastAsia="en-GB"/>
              </w:rPr>
              <w:t>9</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014FCFB2"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-19.23</w:t>
            </w:r>
            <w:r>
              <w:rPr>
                <w:rFonts w:eastAsia="Times New Roman" w:cs="Arial"/>
                <w:b/>
                <w:bCs/>
                <w:sz w:val="20"/>
                <w:szCs w:val="20"/>
                <w:lang w:eastAsia="en-GB"/>
              </w:rPr>
              <w:t>2</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6DDF98B8"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-2.28%</w:t>
            </w:r>
          </w:p>
        </w:tc>
        <w:tc>
          <w:tcPr>
            <w:tcW w:w="1205" w:type="dxa"/>
            <w:tcBorders>
              <w:top w:val="single" w:sz="4" w:space="0" w:color="auto"/>
              <w:left w:val="nil"/>
              <w:bottom w:val="single" w:sz="8" w:space="0" w:color="auto"/>
              <w:right w:val="single" w:sz="4" w:space="0" w:color="auto"/>
            </w:tcBorders>
            <w:shd w:val="clear" w:color="000000" w:fill="D9D9D9"/>
            <w:vAlign w:val="center"/>
            <w:hideMark/>
          </w:tcPr>
          <w:p w14:paraId="35F2C41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-7.951</w:t>
            </w:r>
          </w:p>
        </w:tc>
      </w:tr>
      <w:bookmarkEnd w:id="1"/>
    </w:tbl>
    <w:p w14:paraId="5499CE8F" w14:textId="77777777" w:rsidR="00D10794" w:rsidRPr="00C529BF" w:rsidRDefault="00D10794" w:rsidP="00D10794">
      <w:pPr>
        <w:spacing w:after="0"/>
        <w:rPr>
          <w:rFonts w:cs="Arial"/>
          <w:highlight w:val="yellow"/>
        </w:rPr>
      </w:pPr>
    </w:p>
    <w:p w14:paraId="2B96164C" w14:textId="7571A897" w:rsidR="00D10794" w:rsidRPr="00E466E3" w:rsidRDefault="00D10794" w:rsidP="00D10794">
      <w:pPr>
        <w:spacing w:after="0"/>
        <w:rPr>
          <w:rFonts w:cs="Arial"/>
        </w:rPr>
      </w:pPr>
      <w:r w:rsidRPr="00E466E3">
        <w:rPr>
          <w:rFonts w:cs="Arial"/>
        </w:rPr>
        <w:t xml:space="preserve">The </w:t>
      </w:r>
      <w:r w:rsidR="008A67E6">
        <w:rPr>
          <w:rFonts w:cs="Arial"/>
        </w:rPr>
        <w:t xml:space="preserve">above table details the breakdown across services of the </w:t>
      </w:r>
      <w:r w:rsidRPr="00E466E3">
        <w:rPr>
          <w:rFonts w:cs="Arial"/>
        </w:rPr>
        <w:t>final outturn position for 2020/21</w:t>
      </w:r>
      <w:r w:rsidR="00EF3BE0">
        <w:rPr>
          <w:rFonts w:cs="Arial"/>
        </w:rPr>
        <w:t xml:space="preserve">. </w:t>
      </w:r>
      <w:r w:rsidRPr="00E466E3">
        <w:rPr>
          <w:rFonts w:cs="Arial"/>
        </w:rPr>
        <w:t>The underspend has increased by £11.28</w:t>
      </w:r>
      <w:r>
        <w:rPr>
          <w:rFonts w:cs="Arial"/>
        </w:rPr>
        <w:t>1</w:t>
      </w:r>
      <w:r w:rsidRPr="00E466E3">
        <w:rPr>
          <w:rFonts w:cs="Arial"/>
        </w:rPr>
        <w:t xml:space="preserve">m compared to the position reported to Cabinet as at quarter 3.  </w:t>
      </w:r>
    </w:p>
    <w:p w14:paraId="37E22CFD" w14:textId="77777777" w:rsidR="00D10794" w:rsidRPr="00E466E3" w:rsidRDefault="00D10794" w:rsidP="00D10794">
      <w:pPr>
        <w:spacing w:after="0"/>
        <w:rPr>
          <w:rFonts w:cs="Arial"/>
        </w:rPr>
      </w:pPr>
    </w:p>
    <w:p w14:paraId="7AE4B568" w14:textId="77777777" w:rsidR="00D10794" w:rsidRPr="00D57C6A" w:rsidRDefault="00D10794" w:rsidP="00D10794">
      <w:pPr>
        <w:spacing w:after="0"/>
        <w:rPr>
          <w:rFonts w:cs="Arial"/>
        </w:rPr>
      </w:pPr>
      <w:r w:rsidRPr="00E466E3">
        <w:rPr>
          <w:rFonts w:cs="Arial"/>
        </w:rPr>
        <w:t xml:space="preserve">The most significant areas of change compared to the forecast presented to Cabinet </w:t>
      </w:r>
      <w:r w:rsidRPr="00D57C6A">
        <w:rPr>
          <w:rFonts w:cs="Arial"/>
        </w:rPr>
        <w:t>at Quarter 3 are:</w:t>
      </w:r>
    </w:p>
    <w:p w14:paraId="33104C45" w14:textId="77777777" w:rsidR="00D10794" w:rsidRPr="00D57C6A" w:rsidRDefault="00D10794" w:rsidP="00D10794">
      <w:pPr>
        <w:spacing w:after="0"/>
        <w:rPr>
          <w:rFonts w:cs="Arial"/>
        </w:rPr>
      </w:pPr>
    </w:p>
    <w:p w14:paraId="134AC5B7" w14:textId="77777777" w:rsidR="00D10794" w:rsidRPr="00D57C6A" w:rsidRDefault="00D10794" w:rsidP="00D10794">
      <w:pPr>
        <w:pStyle w:val="ListParagraph"/>
        <w:numPr>
          <w:ilvl w:val="0"/>
          <w:numId w:val="25"/>
        </w:numPr>
        <w:spacing w:after="0"/>
        <w:rPr>
          <w:rFonts w:cs="Arial"/>
        </w:rPr>
      </w:pPr>
      <w:r>
        <w:rPr>
          <w:rFonts w:cs="Arial"/>
        </w:rPr>
        <w:t xml:space="preserve">Additional income received to support additional costs of hospital discharges </w:t>
      </w:r>
      <w:r w:rsidRPr="00D57C6A">
        <w:rPr>
          <w:rFonts w:cs="Arial"/>
        </w:rPr>
        <w:t>that has been received from the NHS totalling £12.8m.</w:t>
      </w:r>
    </w:p>
    <w:p w14:paraId="368FBE5F" w14:textId="77777777" w:rsidR="00D10794" w:rsidRPr="00D57C6A" w:rsidRDefault="00D10794" w:rsidP="00D10794">
      <w:pPr>
        <w:spacing w:after="0"/>
        <w:rPr>
          <w:rFonts w:cs="Arial"/>
        </w:rPr>
      </w:pPr>
    </w:p>
    <w:p w14:paraId="43870187" w14:textId="77777777" w:rsidR="00D10794" w:rsidRDefault="00D10794" w:rsidP="00D10794">
      <w:pPr>
        <w:pStyle w:val="ListParagraph"/>
        <w:numPr>
          <w:ilvl w:val="0"/>
          <w:numId w:val="25"/>
        </w:numPr>
        <w:spacing w:after="0"/>
        <w:rPr>
          <w:rFonts w:cs="Arial"/>
        </w:rPr>
      </w:pPr>
      <w:r>
        <w:rPr>
          <w:rFonts w:cs="Arial"/>
        </w:rPr>
        <w:t xml:space="preserve">Additional </w:t>
      </w:r>
      <w:r w:rsidRPr="00D67902">
        <w:rPr>
          <w:rFonts w:cs="Arial"/>
        </w:rPr>
        <w:t xml:space="preserve">income from the final claim in relation to Sales, Fees and Charges income compensation scheme of </w:t>
      </w:r>
      <w:r>
        <w:rPr>
          <w:rFonts w:cs="Arial"/>
        </w:rPr>
        <w:t>c</w:t>
      </w:r>
      <w:r w:rsidRPr="00D67902">
        <w:rPr>
          <w:rFonts w:cs="Arial"/>
        </w:rPr>
        <w:t>£4m</w:t>
      </w:r>
      <w:r>
        <w:rPr>
          <w:rFonts w:cs="Arial"/>
        </w:rPr>
        <w:t>.</w:t>
      </w:r>
    </w:p>
    <w:p w14:paraId="2D5268AB" w14:textId="77777777" w:rsidR="00D10794" w:rsidRPr="00D57C6A" w:rsidRDefault="00D10794" w:rsidP="00D10794">
      <w:pPr>
        <w:pStyle w:val="ListParagraph"/>
        <w:rPr>
          <w:rFonts w:cs="Arial"/>
        </w:rPr>
      </w:pPr>
    </w:p>
    <w:p w14:paraId="4D862CAE" w14:textId="6E98804D" w:rsidR="00D10794" w:rsidRPr="00D57C6A" w:rsidRDefault="00D10794" w:rsidP="00D10794">
      <w:pPr>
        <w:pStyle w:val="ListParagraph"/>
        <w:numPr>
          <w:ilvl w:val="0"/>
          <w:numId w:val="25"/>
        </w:numPr>
        <w:spacing w:after="0"/>
        <w:rPr>
          <w:rFonts w:cs="Arial"/>
        </w:rPr>
      </w:pPr>
      <w:r>
        <w:rPr>
          <w:rFonts w:cs="Arial"/>
        </w:rPr>
        <w:t xml:space="preserve">Increased costs due to funding </w:t>
      </w:r>
      <w:r w:rsidR="00985EAE">
        <w:rPr>
          <w:rFonts w:cs="Arial"/>
        </w:rPr>
        <w:t xml:space="preserve">being </w:t>
      </w:r>
      <w:r>
        <w:rPr>
          <w:rFonts w:cs="Arial"/>
        </w:rPr>
        <w:t xml:space="preserve">placed in reserves across </w:t>
      </w:r>
      <w:proofErr w:type="gramStart"/>
      <w:r>
        <w:rPr>
          <w:rFonts w:cs="Arial"/>
        </w:rPr>
        <w:t>a number of</w:t>
      </w:r>
      <w:proofErr w:type="gramEnd"/>
      <w:r>
        <w:rPr>
          <w:rFonts w:cs="Arial"/>
        </w:rPr>
        <w:t xml:space="preserve"> services to support </w:t>
      </w:r>
      <w:r w:rsidR="008A67E6">
        <w:rPr>
          <w:rFonts w:cs="Arial"/>
        </w:rPr>
        <w:t xml:space="preserve">specific </w:t>
      </w:r>
      <w:r>
        <w:rPr>
          <w:rFonts w:cs="Arial"/>
        </w:rPr>
        <w:t xml:space="preserve">covid-19 recovery </w:t>
      </w:r>
      <w:r w:rsidR="00EF3BE0">
        <w:rPr>
          <w:rFonts w:cs="Arial"/>
        </w:rPr>
        <w:t>activities in</w:t>
      </w:r>
      <w:r>
        <w:rPr>
          <w:rFonts w:cs="Arial"/>
        </w:rPr>
        <w:t xml:space="preserve"> 2021/22. </w:t>
      </w:r>
    </w:p>
    <w:p w14:paraId="2F6CF0C5" w14:textId="77777777" w:rsidR="00D10794" w:rsidRPr="00C529BF" w:rsidRDefault="00D10794" w:rsidP="00D10794">
      <w:pPr>
        <w:spacing w:after="0"/>
        <w:rPr>
          <w:rFonts w:cs="Arial"/>
          <w:highlight w:val="yellow"/>
        </w:rPr>
      </w:pPr>
    </w:p>
    <w:p w14:paraId="015D7C14" w14:textId="77777777" w:rsidR="00D10794" w:rsidRDefault="00D10794" w:rsidP="00D10794">
      <w:pPr>
        <w:pStyle w:val="ListParagraph"/>
        <w:autoSpaceDE/>
        <w:autoSpaceDN/>
        <w:adjustRightInd/>
        <w:spacing w:after="0"/>
        <w:jc w:val="left"/>
        <w:rPr>
          <w:highlight w:val="yellow"/>
        </w:rPr>
      </w:pPr>
    </w:p>
    <w:p w14:paraId="7A6DBBD1" w14:textId="77777777" w:rsidR="00D10794" w:rsidRDefault="00D10794" w:rsidP="00D10794">
      <w:pPr>
        <w:pStyle w:val="ListParagraph"/>
        <w:autoSpaceDE/>
        <w:autoSpaceDN/>
        <w:adjustRightInd/>
        <w:spacing w:after="0"/>
        <w:jc w:val="left"/>
        <w:rPr>
          <w:highlight w:val="yellow"/>
        </w:rPr>
      </w:pPr>
    </w:p>
    <w:p w14:paraId="5ECB35BD" w14:textId="77777777" w:rsidR="00D10794" w:rsidRDefault="00D10794" w:rsidP="00D10794">
      <w:pPr>
        <w:pStyle w:val="ListParagraph"/>
        <w:autoSpaceDE/>
        <w:autoSpaceDN/>
        <w:adjustRightInd/>
        <w:spacing w:after="0"/>
        <w:jc w:val="left"/>
        <w:rPr>
          <w:highlight w:val="yellow"/>
        </w:rPr>
      </w:pPr>
    </w:p>
    <w:p w14:paraId="34D97FEF" w14:textId="77777777" w:rsidR="00D10794" w:rsidRDefault="00D10794" w:rsidP="00D10794">
      <w:pPr>
        <w:pStyle w:val="ListParagraph"/>
        <w:autoSpaceDE/>
        <w:autoSpaceDN/>
        <w:adjustRightInd/>
        <w:spacing w:after="0"/>
        <w:jc w:val="left"/>
        <w:rPr>
          <w:highlight w:val="yellow"/>
        </w:rPr>
      </w:pPr>
    </w:p>
    <w:p w14:paraId="170DB95C" w14:textId="77777777" w:rsidR="00D10794" w:rsidRDefault="00D10794" w:rsidP="00D10794">
      <w:pPr>
        <w:pStyle w:val="ListParagraph"/>
        <w:autoSpaceDE/>
        <w:autoSpaceDN/>
        <w:adjustRightInd/>
        <w:spacing w:after="0"/>
        <w:jc w:val="left"/>
        <w:rPr>
          <w:highlight w:val="yellow"/>
        </w:rPr>
      </w:pPr>
    </w:p>
    <w:p w14:paraId="048CC77B" w14:textId="77777777" w:rsidR="00D10794" w:rsidRDefault="00D10794" w:rsidP="00D10794">
      <w:pPr>
        <w:pStyle w:val="ListParagraph"/>
        <w:autoSpaceDE/>
        <w:autoSpaceDN/>
        <w:adjustRightInd/>
        <w:spacing w:after="0"/>
        <w:jc w:val="left"/>
        <w:rPr>
          <w:highlight w:val="yellow"/>
        </w:rPr>
      </w:pPr>
    </w:p>
    <w:p w14:paraId="27CD70FC" w14:textId="77777777" w:rsidR="00D10794" w:rsidRDefault="00D10794" w:rsidP="00D10794">
      <w:pPr>
        <w:pStyle w:val="ListParagraph"/>
        <w:autoSpaceDE/>
        <w:autoSpaceDN/>
        <w:adjustRightInd/>
        <w:spacing w:after="0"/>
        <w:jc w:val="left"/>
        <w:rPr>
          <w:highlight w:val="yellow"/>
        </w:rPr>
      </w:pPr>
    </w:p>
    <w:p w14:paraId="0F7428F9" w14:textId="77777777" w:rsidR="00D10794" w:rsidRDefault="00D10794" w:rsidP="00D10794">
      <w:pPr>
        <w:pStyle w:val="ListParagraph"/>
        <w:autoSpaceDE/>
        <w:autoSpaceDN/>
        <w:adjustRightInd/>
        <w:spacing w:after="0"/>
        <w:jc w:val="left"/>
        <w:rPr>
          <w:highlight w:val="yellow"/>
        </w:rPr>
      </w:pPr>
    </w:p>
    <w:p w14:paraId="76549F7C" w14:textId="77777777" w:rsidR="00D10794" w:rsidRDefault="00D10794" w:rsidP="00D10794">
      <w:pPr>
        <w:pStyle w:val="ListParagraph"/>
        <w:autoSpaceDE/>
        <w:autoSpaceDN/>
        <w:adjustRightInd/>
        <w:spacing w:after="0"/>
        <w:jc w:val="left"/>
        <w:rPr>
          <w:highlight w:val="yellow"/>
        </w:rPr>
      </w:pPr>
    </w:p>
    <w:p w14:paraId="27775FBE" w14:textId="77777777" w:rsidR="00D10794" w:rsidRDefault="00D10794" w:rsidP="00D10794">
      <w:pPr>
        <w:pStyle w:val="ListParagraph"/>
        <w:autoSpaceDE/>
        <w:autoSpaceDN/>
        <w:adjustRightInd/>
        <w:spacing w:after="0"/>
        <w:jc w:val="left"/>
        <w:rPr>
          <w:highlight w:val="yellow"/>
        </w:rPr>
      </w:pPr>
    </w:p>
    <w:p w14:paraId="29A0D411" w14:textId="77777777" w:rsidR="00D10794" w:rsidRPr="00C529BF" w:rsidRDefault="00D10794" w:rsidP="00D10794">
      <w:pPr>
        <w:pStyle w:val="ListParagraph"/>
        <w:autoSpaceDE/>
        <w:autoSpaceDN/>
        <w:adjustRightInd/>
        <w:spacing w:after="0"/>
        <w:jc w:val="left"/>
        <w:rPr>
          <w:highlight w:val="yellow"/>
        </w:rPr>
      </w:pPr>
    </w:p>
    <w:p w14:paraId="19F45410" w14:textId="77777777" w:rsidR="00D10794" w:rsidRDefault="00D10794" w:rsidP="00D10794">
      <w:pPr>
        <w:autoSpaceDE/>
        <w:autoSpaceDN/>
        <w:adjustRightInd/>
        <w:spacing w:after="0"/>
      </w:pPr>
      <w:r w:rsidRPr="009C27E1">
        <w:lastRenderedPageBreak/>
        <w:t xml:space="preserve">The graph below shows how the variances have developed over quarterly </w:t>
      </w:r>
      <w:r>
        <w:t>C</w:t>
      </w:r>
      <w:r w:rsidRPr="009C27E1">
        <w:t>abinet reporting during the financial year:</w:t>
      </w:r>
    </w:p>
    <w:p w14:paraId="4D49B304" w14:textId="77777777" w:rsidR="00D10794" w:rsidRDefault="00D10794" w:rsidP="00D10794">
      <w:pPr>
        <w:autoSpaceDE/>
        <w:autoSpaceDN/>
        <w:adjustRightInd/>
        <w:spacing w:after="0"/>
      </w:pPr>
    </w:p>
    <w:p w14:paraId="1F658C0D" w14:textId="77777777" w:rsidR="00D10794" w:rsidRPr="009C27E1" w:rsidRDefault="00D10794" w:rsidP="00D10794">
      <w:pPr>
        <w:autoSpaceDE/>
        <w:autoSpaceDN/>
        <w:adjustRightInd/>
        <w:spacing w:after="0"/>
        <w:jc w:val="center"/>
      </w:pPr>
      <w:r>
        <w:rPr>
          <w:noProof/>
        </w:rPr>
        <w:drawing>
          <wp:inline distT="0" distB="0" distL="0" distR="0" wp14:anchorId="2555B35E" wp14:editId="63CEE5D4">
            <wp:extent cx="4718685" cy="30422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683348"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18685" cy="3042285"/>
                    </a:xfrm>
                    <a:prstGeom prst="rect">
                      <a:avLst/>
                    </a:prstGeom>
                    <a:noFill/>
                  </pic:spPr>
                </pic:pic>
              </a:graphicData>
            </a:graphic>
          </wp:inline>
        </w:drawing>
      </w:r>
    </w:p>
    <w:p w14:paraId="15BAA245" w14:textId="77777777" w:rsidR="00D10794" w:rsidRPr="009C27E1" w:rsidRDefault="00D10794" w:rsidP="00D10794">
      <w:pPr>
        <w:autoSpaceDE/>
        <w:autoSpaceDN/>
        <w:adjustRightInd/>
        <w:spacing w:after="0"/>
      </w:pPr>
    </w:p>
    <w:p w14:paraId="33EFF8D9" w14:textId="77777777" w:rsidR="00D10794" w:rsidRPr="009C27E1" w:rsidRDefault="00D10794" w:rsidP="00D10794">
      <w:pPr>
        <w:autoSpaceDE/>
        <w:autoSpaceDN/>
        <w:adjustRightInd/>
        <w:spacing w:after="0"/>
      </w:pPr>
    </w:p>
    <w:p w14:paraId="182A7720" w14:textId="77777777" w:rsidR="00D10794" w:rsidRPr="009C27E1" w:rsidRDefault="00D10794" w:rsidP="00D10794">
      <w:pPr>
        <w:spacing w:after="0"/>
        <w:rPr>
          <w:rFonts w:cs="Arial"/>
          <w:b/>
          <w:u w:val="single"/>
        </w:rPr>
      </w:pPr>
    </w:p>
    <w:p w14:paraId="3028B562" w14:textId="77777777" w:rsidR="00D10794" w:rsidRPr="009C27E1" w:rsidRDefault="00D10794" w:rsidP="00D10794">
      <w:pPr>
        <w:spacing w:after="0"/>
        <w:ind w:left="-709" w:firstLine="709"/>
        <w:jc w:val="left"/>
        <w:rPr>
          <w:rFonts w:cs="Arial"/>
          <w:b/>
          <w:u w:val="single"/>
        </w:rPr>
      </w:pPr>
      <w:r w:rsidRPr="009C27E1">
        <w:rPr>
          <w:rFonts w:cs="Arial"/>
          <w:b/>
          <w:u w:val="single"/>
        </w:rPr>
        <w:br w:type="page"/>
      </w:r>
    </w:p>
    <w:p w14:paraId="24C33144" w14:textId="77777777" w:rsidR="00D10794" w:rsidRPr="009F5760" w:rsidRDefault="00D10794" w:rsidP="00D10794">
      <w:pPr>
        <w:spacing w:after="0"/>
        <w:rPr>
          <w:rFonts w:eastAsia="Times New Roman" w:cs="Arial"/>
          <w:b/>
          <w:lang w:eastAsia="en-GB"/>
        </w:rPr>
      </w:pPr>
      <w:r w:rsidRPr="009F5760">
        <w:rPr>
          <w:rFonts w:eastAsia="Times New Roman" w:cs="Arial"/>
          <w:b/>
          <w:lang w:eastAsia="en-GB"/>
        </w:rPr>
        <w:lastRenderedPageBreak/>
        <w:t>3.</w:t>
      </w:r>
      <w:r w:rsidRPr="009F5760">
        <w:rPr>
          <w:rFonts w:eastAsia="Times New Roman" w:cs="Arial"/>
          <w:b/>
          <w:lang w:eastAsia="en-GB"/>
        </w:rPr>
        <w:tab/>
        <w:t>Revenue Budget Outturn Detailed Analysis</w:t>
      </w:r>
    </w:p>
    <w:p w14:paraId="6F45CE2C" w14:textId="77777777" w:rsidR="00D10794" w:rsidRPr="009F5760" w:rsidRDefault="00D10794" w:rsidP="00D10794">
      <w:pPr>
        <w:spacing w:after="0"/>
        <w:rPr>
          <w:rFonts w:cs="Arial"/>
          <w:b/>
          <w:u w:val="single"/>
        </w:rPr>
      </w:pPr>
    </w:p>
    <w:p w14:paraId="64037155" w14:textId="77777777" w:rsidR="00D10794" w:rsidRPr="009F5760" w:rsidRDefault="00D10794" w:rsidP="00D10794">
      <w:pPr>
        <w:spacing w:after="0"/>
        <w:rPr>
          <w:rFonts w:eastAsia="Times New Roman" w:cs="Arial"/>
          <w:b/>
          <w:lang w:eastAsia="en-GB"/>
        </w:rPr>
      </w:pPr>
      <w:bookmarkStart w:id="2" w:name="_Hlk72931599"/>
      <w:r w:rsidRPr="009F5760">
        <w:rPr>
          <w:rFonts w:eastAsia="Times New Roman" w:cs="Arial"/>
          <w:b/>
          <w:lang w:eastAsia="en-GB"/>
        </w:rPr>
        <w:t>3.1</w:t>
      </w:r>
      <w:r w:rsidRPr="009F5760">
        <w:rPr>
          <w:rFonts w:eastAsia="Times New Roman" w:cs="Arial"/>
          <w:b/>
          <w:lang w:eastAsia="en-GB"/>
        </w:rPr>
        <w:tab/>
        <w:t xml:space="preserve">Adult Services </w:t>
      </w:r>
    </w:p>
    <w:p w14:paraId="731FB3C0" w14:textId="77777777" w:rsidR="00D10794" w:rsidRPr="00C529BF" w:rsidRDefault="00D10794" w:rsidP="00D10794">
      <w:pPr>
        <w:tabs>
          <w:tab w:val="left" w:pos="851"/>
          <w:tab w:val="left" w:pos="1418"/>
        </w:tabs>
        <w:spacing w:after="0"/>
        <w:rPr>
          <w:rFonts w:cs="Arial"/>
          <w:highlight w:val="yellow"/>
        </w:rPr>
      </w:pPr>
    </w:p>
    <w:tbl>
      <w:tblPr>
        <w:tblW w:w="8958" w:type="dxa"/>
        <w:tblLook w:val="04A0" w:firstRow="1" w:lastRow="0" w:firstColumn="1" w:lastColumn="0" w:noHBand="0" w:noVBand="1"/>
      </w:tblPr>
      <w:tblGrid>
        <w:gridCol w:w="3506"/>
        <w:gridCol w:w="1150"/>
        <w:gridCol w:w="1060"/>
        <w:gridCol w:w="1075"/>
        <w:gridCol w:w="1117"/>
        <w:gridCol w:w="1050"/>
      </w:tblGrid>
      <w:tr w:rsidR="002F12B1" w14:paraId="609CCD59" w14:textId="77777777" w:rsidTr="00D10794">
        <w:trPr>
          <w:trHeight w:val="742"/>
        </w:trPr>
        <w:tc>
          <w:tcPr>
            <w:tcW w:w="3906" w:type="dxa"/>
            <w:tcBorders>
              <w:top w:val="single" w:sz="4" w:space="0" w:color="auto"/>
              <w:left w:val="single" w:sz="4" w:space="0" w:color="auto"/>
              <w:bottom w:val="nil"/>
              <w:right w:val="single" w:sz="4" w:space="0" w:color="auto"/>
            </w:tcBorders>
            <w:shd w:val="clear" w:color="000000" w:fill="D9D9D9"/>
            <w:vAlign w:val="center"/>
            <w:hideMark/>
          </w:tcPr>
          <w:p w14:paraId="223FBFD8" w14:textId="77777777" w:rsidR="00D10794" w:rsidRPr="009F5760" w:rsidRDefault="00D10794" w:rsidP="00D10794">
            <w:pPr>
              <w:autoSpaceDE/>
              <w:autoSpaceDN/>
              <w:adjustRightInd/>
              <w:spacing w:after="0"/>
              <w:jc w:val="center"/>
              <w:rPr>
                <w:rFonts w:eastAsia="Times New Roman" w:cs="Arial"/>
                <w:b/>
                <w:bCs/>
                <w:sz w:val="20"/>
                <w:szCs w:val="20"/>
                <w:lang w:eastAsia="en-GB"/>
              </w:rPr>
            </w:pP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2AF74F3"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Approved Net Budget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0263997"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Net Outturn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57C08E2"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946" w:type="dxa"/>
            <w:tcBorders>
              <w:top w:val="single" w:sz="4" w:space="0" w:color="auto"/>
              <w:left w:val="nil"/>
              <w:bottom w:val="single" w:sz="4" w:space="0" w:color="auto"/>
              <w:right w:val="single" w:sz="4" w:space="0" w:color="auto"/>
            </w:tcBorders>
            <w:shd w:val="clear" w:color="000000" w:fill="D9D9D9"/>
            <w:vAlign w:val="center"/>
            <w:hideMark/>
          </w:tcPr>
          <w:p w14:paraId="326DAB55"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866" w:type="dxa"/>
            <w:tcBorders>
              <w:top w:val="single" w:sz="4" w:space="0" w:color="auto"/>
              <w:left w:val="nil"/>
              <w:bottom w:val="single" w:sz="4" w:space="0" w:color="auto"/>
              <w:right w:val="single" w:sz="4" w:space="0" w:color="auto"/>
            </w:tcBorders>
            <w:shd w:val="clear" w:color="000000" w:fill="D9D9D9"/>
            <w:vAlign w:val="center"/>
            <w:hideMark/>
          </w:tcPr>
          <w:p w14:paraId="34529EA4"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Q3 Forecast Variance</w:t>
            </w:r>
          </w:p>
        </w:tc>
      </w:tr>
      <w:tr w:rsidR="002F12B1" w14:paraId="2122A758"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7A7EAC04"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w:t>
            </w:r>
          </w:p>
        </w:tc>
        <w:tc>
          <w:tcPr>
            <w:tcW w:w="1080" w:type="dxa"/>
            <w:tcBorders>
              <w:top w:val="nil"/>
              <w:left w:val="nil"/>
              <w:bottom w:val="single" w:sz="4" w:space="0" w:color="auto"/>
              <w:right w:val="single" w:sz="4" w:space="0" w:color="auto"/>
            </w:tcBorders>
            <w:shd w:val="clear" w:color="000000" w:fill="D9D9D9"/>
            <w:vAlign w:val="center"/>
            <w:hideMark/>
          </w:tcPr>
          <w:p w14:paraId="689A09BD"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80" w:type="dxa"/>
            <w:tcBorders>
              <w:top w:val="nil"/>
              <w:left w:val="nil"/>
              <w:bottom w:val="single" w:sz="4" w:space="0" w:color="auto"/>
              <w:right w:val="single" w:sz="4" w:space="0" w:color="auto"/>
            </w:tcBorders>
            <w:shd w:val="clear" w:color="000000" w:fill="D9D9D9"/>
            <w:vAlign w:val="center"/>
            <w:hideMark/>
          </w:tcPr>
          <w:p w14:paraId="78749443"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80" w:type="dxa"/>
            <w:tcBorders>
              <w:top w:val="nil"/>
              <w:left w:val="nil"/>
              <w:bottom w:val="single" w:sz="4" w:space="0" w:color="auto"/>
              <w:right w:val="single" w:sz="4" w:space="0" w:color="auto"/>
            </w:tcBorders>
            <w:shd w:val="clear" w:color="000000" w:fill="D9D9D9"/>
            <w:vAlign w:val="center"/>
            <w:hideMark/>
          </w:tcPr>
          <w:p w14:paraId="2B68D12B"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946" w:type="dxa"/>
            <w:tcBorders>
              <w:top w:val="nil"/>
              <w:left w:val="nil"/>
              <w:bottom w:val="single" w:sz="4" w:space="0" w:color="auto"/>
              <w:right w:val="single" w:sz="4" w:space="0" w:color="auto"/>
            </w:tcBorders>
            <w:shd w:val="clear" w:color="000000" w:fill="D9D9D9"/>
            <w:vAlign w:val="center"/>
            <w:hideMark/>
          </w:tcPr>
          <w:p w14:paraId="6F2D17C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w:t>
            </w:r>
          </w:p>
        </w:tc>
        <w:tc>
          <w:tcPr>
            <w:tcW w:w="866" w:type="dxa"/>
            <w:tcBorders>
              <w:top w:val="nil"/>
              <w:left w:val="nil"/>
              <w:bottom w:val="single" w:sz="4" w:space="0" w:color="auto"/>
              <w:right w:val="single" w:sz="4" w:space="0" w:color="auto"/>
            </w:tcBorders>
            <w:shd w:val="clear" w:color="000000" w:fill="D9D9D9"/>
            <w:vAlign w:val="center"/>
            <w:hideMark/>
          </w:tcPr>
          <w:p w14:paraId="2FF690ED"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r>
      <w:tr w:rsidR="002F12B1" w14:paraId="1E830D4C"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497AAD3D"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Disability (Adults)</w:t>
            </w:r>
          </w:p>
        </w:tc>
        <w:tc>
          <w:tcPr>
            <w:tcW w:w="1080" w:type="dxa"/>
            <w:tcBorders>
              <w:top w:val="nil"/>
              <w:left w:val="nil"/>
              <w:bottom w:val="single" w:sz="4" w:space="0" w:color="auto"/>
              <w:right w:val="single" w:sz="4" w:space="0" w:color="auto"/>
            </w:tcBorders>
            <w:shd w:val="clear" w:color="auto" w:fill="auto"/>
            <w:vAlign w:val="center"/>
            <w:hideMark/>
          </w:tcPr>
          <w:p w14:paraId="0254E7F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0.329</w:t>
            </w:r>
          </w:p>
        </w:tc>
        <w:tc>
          <w:tcPr>
            <w:tcW w:w="1080" w:type="dxa"/>
            <w:tcBorders>
              <w:top w:val="nil"/>
              <w:left w:val="nil"/>
              <w:bottom w:val="single" w:sz="4" w:space="0" w:color="auto"/>
              <w:right w:val="single" w:sz="4" w:space="0" w:color="auto"/>
            </w:tcBorders>
            <w:shd w:val="clear" w:color="auto" w:fill="auto"/>
            <w:vAlign w:val="center"/>
            <w:hideMark/>
          </w:tcPr>
          <w:p w14:paraId="0E528F7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0.522</w:t>
            </w:r>
          </w:p>
        </w:tc>
        <w:tc>
          <w:tcPr>
            <w:tcW w:w="1080" w:type="dxa"/>
            <w:tcBorders>
              <w:top w:val="nil"/>
              <w:left w:val="nil"/>
              <w:bottom w:val="single" w:sz="4" w:space="0" w:color="auto"/>
              <w:right w:val="single" w:sz="4" w:space="0" w:color="auto"/>
            </w:tcBorders>
            <w:shd w:val="clear" w:color="000000" w:fill="D9D9D9"/>
            <w:vAlign w:val="center"/>
            <w:hideMark/>
          </w:tcPr>
          <w:p w14:paraId="1055D72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0.193</w:t>
            </w:r>
          </w:p>
        </w:tc>
        <w:tc>
          <w:tcPr>
            <w:tcW w:w="946" w:type="dxa"/>
            <w:tcBorders>
              <w:top w:val="nil"/>
              <w:left w:val="nil"/>
              <w:bottom w:val="single" w:sz="4" w:space="0" w:color="auto"/>
              <w:right w:val="single" w:sz="4" w:space="0" w:color="auto"/>
            </w:tcBorders>
            <w:shd w:val="clear" w:color="auto" w:fill="auto"/>
            <w:vAlign w:val="center"/>
            <w:hideMark/>
          </w:tcPr>
          <w:p w14:paraId="482C536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58.66%</w:t>
            </w:r>
          </w:p>
        </w:tc>
        <w:tc>
          <w:tcPr>
            <w:tcW w:w="866" w:type="dxa"/>
            <w:tcBorders>
              <w:top w:val="nil"/>
              <w:left w:val="nil"/>
              <w:bottom w:val="single" w:sz="4" w:space="0" w:color="auto"/>
              <w:right w:val="single" w:sz="4" w:space="0" w:color="auto"/>
            </w:tcBorders>
            <w:shd w:val="clear" w:color="000000" w:fill="D9D9D9"/>
            <w:vAlign w:val="center"/>
            <w:hideMark/>
          </w:tcPr>
          <w:p w14:paraId="67896F6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0.912</w:t>
            </w:r>
          </w:p>
        </w:tc>
      </w:tr>
      <w:tr w:rsidR="002F12B1" w14:paraId="3A254B48"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24A1D867"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Learning Disabilities, Autism &amp; Mental Health</w:t>
            </w:r>
          </w:p>
        </w:tc>
        <w:tc>
          <w:tcPr>
            <w:tcW w:w="1080" w:type="dxa"/>
            <w:tcBorders>
              <w:top w:val="nil"/>
              <w:left w:val="nil"/>
              <w:bottom w:val="single" w:sz="4" w:space="0" w:color="auto"/>
              <w:right w:val="single" w:sz="4" w:space="0" w:color="auto"/>
            </w:tcBorders>
            <w:shd w:val="clear" w:color="auto" w:fill="auto"/>
            <w:vAlign w:val="center"/>
            <w:hideMark/>
          </w:tcPr>
          <w:p w14:paraId="6FF7BF4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175.763</w:t>
            </w:r>
          </w:p>
        </w:tc>
        <w:tc>
          <w:tcPr>
            <w:tcW w:w="1080" w:type="dxa"/>
            <w:tcBorders>
              <w:top w:val="nil"/>
              <w:left w:val="nil"/>
              <w:bottom w:val="single" w:sz="4" w:space="0" w:color="auto"/>
              <w:right w:val="single" w:sz="4" w:space="0" w:color="auto"/>
            </w:tcBorders>
            <w:shd w:val="clear" w:color="auto" w:fill="auto"/>
            <w:vAlign w:val="center"/>
            <w:hideMark/>
          </w:tcPr>
          <w:p w14:paraId="0E73160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186.812</w:t>
            </w:r>
          </w:p>
        </w:tc>
        <w:tc>
          <w:tcPr>
            <w:tcW w:w="1080" w:type="dxa"/>
            <w:tcBorders>
              <w:top w:val="nil"/>
              <w:left w:val="nil"/>
              <w:bottom w:val="single" w:sz="4" w:space="0" w:color="auto"/>
              <w:right w:val="single" w:sz="4" w:space="0" w:color="auto"/>
            </w:tcBorders>
            <w:shd w:val="clear" w:color="000000" w:fill="D9D9D9"/>
            <w:vAlign w:val="center"/>
            <w:hideMark/>
          </w:tcPr>
          <w:p w14:paraId="7020428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11.049</w:t>
            </w:r>
          </w:p>
        </w:tc>
        <w:tc>
          <w:tcPr>
            <w:tcW w:w="946" w:type="dxa"/>
            <w:tcBorders>
              <w:top w:val="nil"/>
              <w:left w:val="nil"/>
              <w:bottom w:val="single" w:sz="4" w:space="0" w:color="auto"/>
              <w:right w:val="single" w:sz="4" w:space="0" w:color="auto"/>
            </w:tcBorders>
            <w:shd w:val="clear" w:color="auto" w:fill="auto"/>
            <w:vAlign w:val="center"/>
            <w:hideMark/>
          </w:tcPr>
          <w:p w14:paraId="20A56C9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6.29%</w:t>
            </w:r>
          </w:p>
        </w:tc>
        <w:tc>
          <w:tcPr>
            <w:tcW w:w="866" w:type="dxa"/>
            <w:tcBorders>
              <w:top w:val="nil"/>
              <w:left w:val="nil"/>
              <w:bottom w:val="single" w:sz="4" w:space="0" w:color="auto"/>
              <w:right w:val="single" w:sz="4" w:space="0" w:color="auto"/>
            </w:tcBorders>
            <w:shd w:val="clear" w:color="000000" w:fill="D9D9D9"/>
            <w:vAlign w:val="center"/>
            <w:hideMark/>
          </w:tcPr>
          <w:p w14:paraId="0544C42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4.958</w:t>
            </w:r>
          </w:p>
        </w:tc>
      </w:tr>
      <w:tr w:rsidR="002F12B1" w14:paraId="2A94CB5D"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43C5D775"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Residential &amp; Day Care Services for Older People</w:t>
            </w:r>
          </w:p>
        </w:tc>
        <w:tc>
          <w:tcPr>
            <w:tcW w:w="1080" w:type="dxa"/>
            <w:tcBorders>
              <w:top w:val="nil"/>
              <w:left w:val="nil"/>
              <w:bottom w:val="single" w:sz="4" w:space="0" w:color="auto"/>
              <w:right w:val="single" w:sz="4" w:space="0" w:color="auto"/>
            </w:tcBorders>
            <w:shd w:val="clear" w:color="auto" w:fill="auto"/>
            <w:vAlign w:val="center"/>
            <w:hideMark/>
          </w:tcPr>
          <w:p w14:paraId="17E7763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-0.344</w:t>
            </w:r>
          </w:p>
        </w:tc>
        <w:tc>
          <w:tcPr>
            <w:tcW w:w="1080" w:type="dxa"/>
            <w:tcBorders>
              <w:top w:val="nil"/>
              <w:left w:val="nil"/>
              <w:bottom w:val="single" w:sz="4" w:space="0" w:color="auto"/>
              <w:right w:val="single" w:sz="4" w:space="0" w:color="auto"/>
            </w:tcBorders>
            <w:shd w:val="clear" w:color="auto" w:fill="auto"/>
            <w:vAlign w:val="center"/>
            <w:hideMark/>
          </w:tcPr>
          <w:p w14:paraId="25AF56E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3.462</w:t>
            </w:r>
          </w:p>
        </w:tc>
        <w:tc>
          <w:tcPr>
            <w:tcW w:w="1080" w:type="dxa"/>
            <w:tcBorders>
              <w:top w:val="nil"/>
              <w:left w:val="nil"/>
              <w:bottom w:val="single" w:sz="4" w:space="0" w:color="auto"/>
              <w:right w:val="single" w:sz="4" w:space="0" w:color="auto"/>
            </w:tcBorders>
            <w:shd w:val="clear" w:color="000000" w:fill="D9D9D9"/>
            <w:vAlign w:val="center"/>
            <w:hideMark/>
          </w:tcPr>
          <w:p w14:paraId="52A6A35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3.806</w:t>
            </w:r>
          </w:p>
        </w:tc>
        <w:tc>
          <w:tcPr>
            <w:tcW w:w="946" w:type="dxa"/>
            <w:tcBorders>
              <w:top w:val="nil"/>
              <w:left w:val="nil"/>
              <w:bottom w:val="single" w:sz="4" w:space="0" w:color="auto"/>
              <w:right w:val="single" w:sz="4" w:space="0" w:color="auto"/>
            </w:tcBorders>
            <w:shd w:val="clear" w:color="auto" w:fill="auto"/>
            <w:vAlign w:val="center"/>
            <w:hideMark/>
          </w:tcPr>
          <w:p w14:paraId="5DD5AB0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-1106.40%</w:t>
            </w:r>
          </w:p>
        </w:tc>
        <w:tc>
          <w:tcPr>
            <w:tcW w:w="866" w:type="dxa"/>
            <w:tcBorders>
              <w:top w:val="nil"/>
              <w:left w:val="nil"/>
              <w:bottom w:val="single" w:sz="4" w:space="0" w:color="auto"/>
              <w:right w:val="single" w:sz="4" w:space="0" w:color="auto"/>
            </w:tcBorders>
            <w:shd w:val="clear" w:color="000000" w:fill="D9D9D9"/>
            <w:vAlign w:val="center"/>
            <w:hideMark/>
          </w:tcPr>
          <w:p w14:paraId="69101F7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4.732</w:t>
            </w:r>
          </w:p>
        </w:tc>
      </w:tr>
      <w:tr w:rsidR="002F12B1" w14:paraId="26A2C5A5"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294A772B"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Social Care Services (Adults)</w:t>
            </w:r>
          </w:p>
        </w:tc>
        <w:tc>
          <w:tcPr>
            <w:tcW w:w="1080" w:type="dxa"/>
            <w:tcBorders>
              <w:top w:val="nil"/>
              <w:left w:val="nil"/>
              <w:bottom w:val="single" w:sz="4" w:space="0" w:color="auto"/>
              <w:right w:val="single" w:sz="4" w:space="0" w:color="auto"/>
            </w:tcBorders>
            <w:shd w:val="clear" w:color="auto" w:fill="auto"/>
            <w:vAlign w:val="center"/>
            <w:hideMark/>
          </w:tcPr>
          <w:p w14:paraId="28CA71E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188.861</w:t>
            </w:r>
          </w:p>
        </w:tc>
        <w:tc>
          <w:tcPr>
            <w:tcW w:w="1080" w:type="dxa"/>
            <w:tcBorders>
              <w:top w:val="nil"/>
              <w:left w:val="nil"/>
              <w:bottom w:val="single" w:sz="4" w:space="0" w:color="auto"/>
              <w:right w:val="single" w:sz="4" w:space="0" w:color="auto"/>
            </w:tcBorders>
            <w:shd w:val="clear" w:color="auto" w:fill="auto"/>
            <w:vAlign w:val="center"/>
            <w:hideMark/>
          </w:tcPr>
          <w:p w14:paraId="798191F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189.58</w:t>
            </w:r>
            <w:r>
              <w:rPr>
                <w:rFonts w:eastAsia="Times New Roman" w:cs="Arial"/>
                <w:sz w:val="20"/>
                <w:szCs w:val="20"/>
                <w:lang w:eastAsia="en-GB"/>
              </w:rPr>
              <w:t>6</w:t>
            </w:r>
          </w:p>
        </w:tc>
        <w:tc>
          <w:tcPr>
            <w:tcW w:w="1080" w:type="dxa"/>
            <w:tcBorders>
              <w:top w:val="nil"/>
              <w:left w:val="nil"/>
              <w:bottom w:val="single" w:sz="4" w:space="0" w:color="auto"/>
              <w:right w:val="single" w:sz="4" w:space="0" w:color="auto"/>
            </w:tcBorders>
            <w:shd w:val="clear" w:color="000000" w:fill="D9D9D9"/>
            <w:vAlign w:val="center"/>
            <w:hideMark/>
          </w:tcPr>
          <w:p w14:paraId="7AC9E77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0.72</w:t>
            </w:r>
            <w:r>
              <w:rPr>
                <w:rFonts w:eastAsia="Times New Roman" w:cs="Arial"/>
                <w:sz w:val="20"/>
                <w:szCs w:val="20"/>
                <w:lang w:eastAsia="en-GB"/>
              </w:rPr>
              <w:t>5</w:t>
            </w:r>
          </w:p>
        </w:tc>
        <w:tc>
          <w:tcPr>
            <w:tcW w:w="946" w:type="dxa"/>
            <w:tcBorders>
              <w:top w:val="nil"/>
              <w:left w:val="nil"/>
              <w:bottom w:val="single" w:sz="4" w:space="0" w:color="auto"/>
              <w:right w:val="single" w:sz="4" w:space="0" w:color="auto"/>
            </w:tcBorders>
            <w:shd w:val="clear" w:color="auto" w:fill="auto"/>
            <w:vAlign w:val="center"/>
            <w:hideMark/>
          </w:tcPr>
          <w:p w14:paraId="2EC2346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0.38%</w:t>
            </w:r>
          </w:p>
        </w:tc>
        <w:tc>
          <w:tcPr>
            <w:tcW w:w="866" w:type="dxa"/>
            <w:tcBorders>
              <w:top w:val="nil"/>
              <w:left w:val="nil"/>
              <w:bottom w:val="single" w:sz="4" w:space="0" w:color="auto"/>
              <w:right w:val="single" w:sz="4" w:space="0" w:color="auto"/>
            </w:tcBorders>
            <w:shd w:val="clear" w:color="000000" w:fill="D9D9D9"/>
            <w:vAlign w:val="center"/>
            <w:hideMark/>
          </w:tcPr>
          <w:p w14:paraId="6B61EBD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14.610</w:t>
            </w:r>
          </w:p>
        </w:tc>
      </w:tr>
      <w:tr w:rsidR="002F12B1" w14:paraId="3F9F08EB" w14:textId="77777777" w:rsidTr="00D10794">
        <w:trPr>
          <w:trHeight w:val="291"/>
        </w:trPr>
        <w:tc>
          <w:tcPr>
            <w:tcW w:w="3906" w:type="dxa"/>
            <w:tcBorders>
              <w:top w:val="nil"/>
              <w:left w:val="single" w:sz="4" w:space="0" w:color="auto"/>
              <w:bottom w:val="single" w:sz="4" w:space="0" w:color="auto"/>
              <w:right w:val="single" w:sz="4" w:space="0" w:color="auto"/>
            </w:tcBorders>
            <w:shd w:val="clear" w:color="000000" w:fill="D9D9D9"/>
            <w:vAlign w:val="center"/>
            <w:hideMark/>
          </w:tcPr>
          <w:p w14:paraId="4D8519B1"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w:t>
            </w:r>
          </w:p>
        </w:tc>
        <w:tc>
          <w:tcPr>
            <w:tcW w:w="1080" w:type="dxa"/>
            <w:tcBorders>
              <w:top w:val="nil"/>
              <w:left w:val="nil"/>
              <w:bottom w:val="single" w:sz="4" w:space="0" w:color="auto"/>
              <w:right w:val="single" w:sz="4" w:space="0" w:color="auto"/>
            </w:tcBorders>
            <w:shd w:val="clear" w:color="000000" w:fill="D9D9D9"/>
            <w:vAlign w:val="center"/>
            <w:hideMark/>
          </w:tcPr>
          <w:p w14:paraId="06377179"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364.609</w:t>
            </w:r>
          </w:p>
        </w:tc>
        <w:tc>
          <w:tcPr>
            <w:tcW w:w="1080" w:type="dxa"/>
            <w:tcBorders>
              <w:top w:val="nil"/>
              <w:left w:val="nil"/>
              <w:bottom w:val="single" w:sz="4" w:space="0" w:color="auto"/>
              <w:right w:val="single" w:sz="4" w:space="0" w:color="auto"/>
            </w:tcBorders>
            <w:shd w:val="clear" w:color="000000" w:fill="D9D9D9"/>
            <w:vAlign w:val="center"/>
            <w:hideMark/>
          </w:tcPr>
          <w:p w14:paraId="1808DE17"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380.38</w:t>
            </w:r>
            <w:r>
              <w:rPr>
                <w:rFonts w:eastAsia="Times New Roman" w:cs="Arial"/>
                <w:b/>
                <w:bCs/>
                <w:sz w:val="20"/>
                <w:szCs w:val="20"/>
                <w:lang w:eastAsia="en-GB"/>
              </w:rPr>
              <w:t>2</w:t>
            </w:r>
          </w:p>
        </w:tc>
        <w:tc>
          <w:tcPr>
            <w:tcW w:w="1080" w:type="dxa"/>
            <w:tcBorders>
              <w:top w:val="nil"/>
              <w:left w:val="nil"/>
              <w:bottom w:val="single" w:sz="4" w:space="0" w:color="auto"/>
              <w:right w:val="single" w:sz="4" w:space="0" w:color="auto"/>
            </w:tcBorders>
            <w:shd w:val="clear" w:color="000000" w:fill="D9D9D9"/>
            <w:vAlign w:val="center"/>
            <w:hideMark/>
          </w:tcPr>
          <w:p w14:paraId="273CD580"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15.77</w:t>
            </w:r>
            <w:r>
              <w:rPr>
                <w:rFonts w:eastAsia="Times New Roman" w:cs="Arial"/>
                <w:b/>
                <w:bCs/>
                <w:sz w:val="20"/>
                <w:szCs w:val="20"/>
                <w:lang w:eastAsia="en-GB"/>
              </w:rPr>
              <w:t>3</w:t>
            </w:r>
          </w:p>
        </w:tc>
        <w:tc>
          <w:tcPr>
            <w:tcW w:w="946" w:type="dxa"/>
            <w:tcBorders>
              <w:top w:val="nil"/>
              <w:left w:val="nil"/>
              <w:bottom w:val="single" w:sz="4" w:space="0" w:color="auto"/>
              <w:right w:val="single" w:sz="4" w:space="0" w:color="auto"/>
            </w:tcBorders>
            <w:shd w:val="clear" w:color="000000" w:fill="D9D9D9"/>
            <w:vAlign w:val="center"/>
            <w:hideMark/>
          </w:tcPr>
          <w:p w14:paraId="63D74B5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4.33%</w:t>
            </w:r>
          </w:p>
        </w:tc>
        <w:tc>
          <w:tcPr>
            <w:tcW w:w="866" w:type="dxa"/>
            <w:tcBorders>
              <w:top w:val="nil"/>
              <w:left w:val="nil"/>
              <w:bottom w:val="single" w:sz="4" w:space="0" w:color="auto"/>
              <w:right w:val="single" w:sz="4" w:space="0" w:color="auto"/>
            </w:tcBorders>
            <w:shd w:val="clear" w:color="000000" w:fill="D9D9D9"/>
            <w:vAlign w:val="center"/>
            <w:hideMark/>
          </w:tcPr>
          <w:p w14:paraId="55733402"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25.212</w:t>
            </w:r>
          </w:p>
        </w:tc>
      </w:tr>
      <w:tr w:rsidR="002F12B1" w14:paraId="3AFE8E66" w14:textId="77777777" w:rsidTr="00D10794">
        <w:trPr>
          <w:trHeight w:val="291"/>
        </w:trPr>
        <w:tc>
          <w:tcPr>
            <w:tcW w:w="3906" w:type="dxa"/>
            <w:tcBorders>
              <w:top w:val="nil"/>
              <w:left w:val="single" w:sz="4" w:space="0" w:color="auto"/>
              <w:bottom w:val="single" w:sz="4" w:space="0" w:color="auto"/>
              <w:right w:val="single" w:sz="4" w:space="0" w:color="auto"/>
            </w:tcBorders>
            <w:shd w:val="clear" w:color="auto" w:fill="auto"/>
            <w:vAlign w:val="center"/>
            <w:hideMark/>
          </w:tcPr>
          <w:p w14:paraId="5325F131"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Share of unallocated COVID-19 emergency monies</w:t>
            </w:r>
          </w:p>
        </w:tc>
        <w:tc>
          <w:tcPr>
            <w:tcW w:w="1080" w:type="dxa"/>
            <w:tcBorders>
              <w:top w:val="nil"/>
              <w:left w:val="nil"/>
              <w:bottom w:val="single" w:sz="4" w:space="0" w:color="auto"/>
              <w:right w:val="single" w:sz="4" w:space="0" w:color="auto"/>
            </w:tcBorders>
            <w:shd w:val="clear" w:color="auto" w:fill="auto"/>
            <w:vAlign w:val="center"/>
            <w:hideMark/>
          </w:tcPr>
          <w:p w14:paraId="71A2CC2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0.000</w:t>
            </w:r>
          </w:p>
        </w:tc>
        <w:tc>
          <w:tcPr>
            <w:tcW w:w="1080" w:type="dxa"/>
            <w:tcBorders>
              <w:top w:val="nil"/>
              <w:left w:val="nil"/>
              <w:bottom w:val="single" w:sz="4" w:space="0" w:color="auto"/>
              <w:right w:val="single" w:sz="4" w:space="0" w:color="auto"/>
            </w:tcBorders>
            <w:shd w:val="clear" w:color="auto" w:fill="auto"/>
            <w:vAlign w:val="center"/>
            <w:hideMark/>
          </w:tcPr>
          <w:p w14:paraId="0D7DD3F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-31.643</w:t>
            </w:r>
          </w:p>
        </w:tc>
        <w:tc>
          <w:tcPr>
            <w:tcW w:w="1080" w:type="dxa"/>
            <w:tcBorders>
              <w:top w:val="nil"/>
              <w:left w:val="nil"/>
              <w:bottom w:val="single" w:sz="4" w:space="0" w:color="auto"/>
              <w:right w:val="single" w:sz="4" w:space="0" w:color="auto"/>
            </w:tcBorders>
            <w:shd w:val="clear" w:color="000000" w:fill="D9D9D9"/>
            <w:vAlign w:val="center"/>
            <w:hideMark/>
          </w:tcPr>
          <w:p w14:paraId="2F39C41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-31.643</w:t>
            </w:r>
          </w:p>
        </w:tc>
        <w:tc>
          <w:tcPr>
            <w:tcW w:w="946" w:type="dxa"/>
            <w:tcBorders>
              <w:top w:val="nil"/>
              <w:left w:val="nil"/>
              <w:bottom w:val="single" w:sz="4" w:space="0" w:color="auto"/>
              <w:right w:val="single" w:sz="4" w:space="0" w:color="auto"/>
            </w:tcBorders>
            <w:shd w:val="clear" w:color="auto" w:fill="auto"/>
            <w:vAlign w:val="center"/>
            <w:hideMark/>
          </w:tcPr>
          <w:p w14:paraId="5625390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 </w:t>
            </w:r>
          </w:p>
        </w:tc>
        <w:tc>
          <w:tcPr>
            <w:tcW w:w="866" w:type="dxa"/>
            <w:tcBorders>
              <w:top w:val="nil"/>
              <w:left w:val="nil"/>
              <w:bottom w:val="single" w:sz="4" w:space="0" w:color="auto"/>
              <w:right w:val="single" w:sz="4" w:space="0" w:color="auto"/>
            </w:tcBorders>
            <w:shd w:val="clear" w:color="000000" w:fill="D9D9D9"/>
            <w:vAlign w:val="center"/>
            <w:hideMark/>
          </w:tcPr>
          <w:p w14:paraId="6D0A30C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-26.382</w:t>
            </w:r>
          </w:p>
        </w:tc>
      </w:tr>
      <w:tr w:rsidR="002F12B1" w14:paraId="42D815ED" w14:textId="77777777" w:rsidTr="00D10794">
        <w:trPr>
          <w:trHeight w:val="291"/>
        </w:trPr>
        <w:tc>
          <w:tcPr>
            <w:tcW w:w="3906" w:type="dxa"/>
            <w:tcBorders>
              <w:top w:val="nil"/>
              <w:left w:val="single" w:sz="8" w:space="0" w:color="auto"/>
              <w:bottom w:val="single" w:sz="4" w:space="0" w:color="auto"/>
              <w:right w:val="single" w:sz="4" w:space="0" w:color="auto"/>
            </w:tcBorders>
            <w:shd w:val="clear" w:color="000000" w:fill="D9D9D9"/>
            <w:vAlign w:val="center"/>
            <w:hideMark/>
          </w:tcPr>
          <w:p w14:paraId="52A9B0CD"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Adults</w:t>
            </w:r>
          </w:p>
        </w:tc>
        <w:tc>
          <w:tcPr>
            <w:tcW w:w="1080" w:type="dxa"/>
            <w:tcBorders>
              <w:top w:val="nil"/>
              <w:left w:val="nil"/>
              <w:bottom w:val="single" w:sz="4" w:space="0" w:color="auto"/>
              <w:right w:val="single" w:sz="4" w:space="0" w:color="auto"/>
            </w:tcBorders>
            <w:shd w:val="clear" w:color="000000" w:fill="D9D9D9"/>
            <w:vAlign w:val="center"/>
            <w:hideMark/>
          </w:tcPr>
          <w:p w14:paraId="52F088D4"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364.609</w:t>
            </w:r>
          </w:p>
        </w:tc>
        <w:tc>
          <w:tcPr>
            <w:tcW w:w="1080" w:type="dxa"/>
            <w:tcBorders>
              <w:top w:val="nil"/>
              <w:left w:val="nil"/>
              <w:bottom w:val="single" w:sz="4" w:space="0" w:color="auto"/>
              <w:right w:val="single" w:sz="4" w:space="0" w:color="auto"/>
            </w:tcBorders>
            <w:shd w:val="clear" w:color="000000" w:fill="D9D9D9"/>
            <w:vAlign w:val="center"/>
            <w:hideMark/>
          </w:tcPr>
          <w:p w14:paraId="70BE1D7B"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348.73</w:t>
            </w:r>
            <w:r>
              <w:rPr>
                <w:rFonts w:eastAsia="Times New Roman" w:cs="Arial"/>
                <w:b/>
                <w:bCs/>
                <w:sz w:val="20"/>
                <w:szCs w:val="20"/>
                <w:lang w:eastAsia="en-GB"/>
              </w:rPr>
              <w:t>9</w:t>
            </w:r>
          </w:p>
        </w:tc>
        <w:tc>
          <w:tcPr>
            <w:tcW w:w="1080" w:type="dxa"/>
            <w:tcBorders>
              <w:top w:val="nil"/>
              <w:left w:val="nil"/>
              <w:bottom w:val="single" w:sz="4" w:space="0" w:color="auto"/>
              <w:right w:val="single" w:sz="4" w:space="0" w:color="auto"/>
            </w:tcBorders>
            <w:shd w:val="clear" w:color="000000" w:fill="D9D9D9"/>
            <w:vAlign w:val="center"/>
            <w:hideMark/>
          </w:tcPr>
          <w:p w14:paraId="487DEA2D"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-15.87</w:t>
            </w:r>
            <w:r>
              <w:rPr>
                <w:rFonts w:eastAsia="Times New Roman" w:cs="Arial"/>
                <w:b/>
                <w:bCs/>
                <w:sz w:val="20"/>
                <w:szCs w:val="20"/>
                <w:lang w:eastAsia="en-GB"/>
              </w:rPr>
              <w:t>0</w:t>
            </w:r>
          </w:p>
        </w:tc>
        <w:tc>
          <w:tcPr>
            <w:tcW w:w="946" w:type="dxa"/>
            <w:tcBorders>
              <w:top w:val="nil"/>
              <w:left w:val="nil"/>
              <w:bottom w:val="single" w:sz="4" w:space="0" w:color="auto"/>
              <w:right w:val="single" w:sz="4" w:space="0" w:color="auto"/>
            </w:tcBorders>
            <w:shd w:val="clear" w:color="000000" w:fill="D9D9D9"/>
            <w:vAlign w:val="center"/>
            <w:hideMark/>
          </w:tcPr>
          <w:p w14:paraId="218D88C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-4.35%</w:t>
            </w:r>
          </w:p>
        </w:tc>
        <w:tc>
          <w:tcPr>
            <w:tcW w:w="866" w:type="dxa"/>
            <w:tcBorders>
              <w:top w:val="nil"/>
              <w:left w:val="nil"/>
              <w:bottom w:val="single" w:sz="4" w:space="0" w:color="auto"/>
              <w:right w:val="single" w:sz="4" w:space="0" w:color="auto"/>
            </w:tcBorders>
            <w:shd w:val="clear" w:color="000000" w:fill="D9D9D9"/>
            <w:vAlign w:val="center"/>
            <w:hideMark/>
          </w:tcPr>
          <w:p w14:paraId="4DC6131D"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-1.170</w:t>
            </w:r>
          </w:p>
        </w:tc>
      </w:tr>
    </w:tbl>
    <w:p w14:paraId="76CE0F7E" w14:textId="77777777" w:rsidR="00D10794" w:rsidRPr="00C529BF" w:rsidRDefault="00D10794" w:rsidP="00D10794">
      <w:pPr>
        <w:tabs>
          <w:tab w:val="left" w:pos="851"/>
          <w:tab w:val="left" w:pos="1418"/>
        </w:tabs>
        <w:spacing w:after="0"/>
        <w:rPr>
          <w:rFonts w:cs="Arial"/>
          <w:highlight w:val="yellow"/>
        </w:rPr>
      </w:pPr>
    </w:p>
    <w:p w14:paraId="5A355247" w14:textId="77777777" w:rsidR="00D10794" w:rsidRPr="00E466E3" w:rsidRDefault="00D10794" w:rsidP="00D10794">
      <w:pPr>
        <w:tabs>
          <w:tab w:val="left" w:pos="0"/>
          <w:tab w:val="left" w:pos="1418"/>
        </w:tabs>
        <w:spacing w:after="0"/>
        <w:contextualSpacing/>
        <w:rPr>
          <w:rFonts w:cs="Arial"/>
          <w:b/>
        </w:rPr>
      </w:pPr>
      <w:r w:rsidRPr="00E466E3">
        <w:rPr>
          <w:rFonts w:cs="Arial"/>
          <w:b/>
        </w:rPr>
        <w:t>Adult Services – underspend £15.87</w:t>
      </w:r>
      <w:r>
        <w:rPr>
          <w:rFonts w:cs="Arial"/>
          <w:b/>
        </w:rPr>
        <w:t>0</w:t>
      </w:r>
      <w:r w:rsidRPr="00E466E3">
        <w:rPr>
          <w:rFonts w:cs="Arial"/>
          <w:b/>
        </w:rPr>
        <w:t>m</w:t>
      </w:r>
    </w:p>
    <w:p w14:paraId="4AA25139" w14:textId="77777777" w:rsidR="00D10794" w:rsidRDefault="00D10794" w:rsidP="00D10794">
      <w:pPr>
        <w:spacing w:after="0"/>
        <w:rPr>
          <w:rFonts w:cs="Arial"/>
        </w:rPr>
      </w:pPr>
      <w:r w:rsidRPr="00E466E3">
        <w:rPr>
          <w:rFonts w:cs="Arial"/>
        </w:rPr>
        <w:t xml:space="preserve">The Adult Services budget accounts for c43% of the county council's total net budget. </w:t>
      </w:r>
    </w:p>
    <w:p w14:paraId="5012D2F8" w14:textId="77777777" w:rsidR="00D10794" w:rsidRDefault="00D10794" w:rsidP="00D10794">
      <w:pPr>
        <w:spacing w:after="0"/>
        <w:rPr>
          <w:rFonts w:cs="Arial"/>
        </w:rPr>
      </w:pPr>
    </w:p>
    <w:p w14:paraId="7D345712" w14:textId="77777777" w:rsidR="00D10794" w:rsidRDefault="00D10794" w:rsidP="00D10794">
      <w:pPr>
        <w:spacing w:after="0"/>
        <w:rPr>
          <w:rFonts w:cs="Arial"/>
        </w:rPr>
      </w:pPr>
      <w:r>
        <w:rPr>
          <w:rFonts w:cs="Arial"/>
        </w:rPr>
        <w:t>I</w:t>
      </w:r>
      <w:r w:rsidRPr="00ED44A2">
        <w:rPr>
          <w:rFonts w:cs="Arial"/>
        </w:rPr>
        <w:t>t is positive t</w:t>
      </w:r>
      <w:r>
        <w:rPr>
          <w:rFonts w:cs="Arial"/>
        </w:rPr>
        <w:t xml:space="preserve">o </w:t>
      </w:r>
      <w:r w:rsidRPr="00ED44A2">
        <w:rPr>
          <w:rFonts w:cs="Arial"/>
        </w:rPr>
        <w:t xml:space="preserve"> </w:t>
      </w:r>
      <w:r>
        <w:rPr>
          <w:rFonts w:cs="Arial"/>
        </w:rPr>
        <w:t>report an outturn significantly</w:t>
      </w:r>
      <w:r w:rsidRPr="00ED44A2">
        <w:rPr>
          <w:rFonts w:cs="Arial"/>
        </w:rPr>
        <w:t xml:space="preserve"> within budget </w:t>
      </w:r>
      <w:r>
        <w:rPr>
          <w:rFonts w:cs="Arial"/>
        </w:rPr>
        <w:t xml:space="preserve">but it </w:t>
      </w:r>
      <w:r w:rsidRPr="00ED44A2">
        <w:rPr>
          <w:rFonts w:cs="Arial"/>
        </w:rPr>
        <w:t xml:space="preserve"> must be noted that </w:t>
      </w:r>
      <w:r>
        <w:rPr>
          <w:rFonts w:cs="Arial"/>
        </w:rPr>
        <w:t xml:space="preserve">the </w:t>
      </w:r>
      <w:r w:rsidRPr="00ED44A2">
        <w:rPr>
          <w:rFonts w:cs="Arial"/>
        </w:rPr>
        <w:t>service has been supported by significant levels of Covid-19 funding (</w:t>
      </w:r>
      <w:r w:rsidRPr="0028444E">
        <w:rPr>
          <w:rFonts w:cs="Arial"/>
        </w:rPr>
        <w:t xml:space="preserve">£31.643m </w:t>
      </w:r>
      <w:r>
        <w:rPr>
          <w:rFonts w:cs="Arial"/>
        </w:rPr>
        <w:t xml:space="preserve">- </w:t>
      </w:r>
      <w:r w:rsidRPr="00ED44A2">
        <w:rPr>
          <w:rFonts w:cs="Arial"/>
        </w:rPr>
        <w:t xml:space="preserve">emergency support grant, infection control grant, hospital discharge funding and sales, fees and charges grant) which </w:t>
      </w:r>
      <w:r w:rsidRPr="00865F6C">
        <w:rPr>
          <w:rFonts w:cs="Arial"/>
        </w:rPr>
        <w:t>has been apportioned based on the pressures</w:t>
      </w:r>
      <w:r>
        <w:rPr>
          <w:rFonts w:cs="Arial"/>
        </w:rPr>
        <w:t xml:space="preserve"> experienced</w:t>
      </w:r>
      <w:r w:rsidRPr="00865F6C">
        <w:rPr>
          <w:rFonts w:cs="Arial"/>
        </w:rPr>
        <w:t xml:space="preserve"> across </w:t>
      </w:r>
      <w:r>
        <w:rPr>
          <w:rFonts w:cs="Arial"/>
        </w:rPr>
        <w:t xml:space="preserve">services  but is </w:t>
      </w:r>
      <w:r w:rsidRPr="00ED44A2">
        <w:rPr>
          <w:rFonts w:cs="Arial"/>
        </w:rPr>
        <w:t>non-recurrent</w:t>
      </w:r>
      <w:r>
        <w:rPr>
          <w:rFonts w:cs="Arial"/>
        </w:rPr>
        <w:t xml:space="preserve">. </w:t>
      </w:r>
      <w:r w:rsidRPr="00ED44A2">
        <w:rPr>
          <w:rFonts w:cs="Arial"/>
        </w:rPr>
        <w:t xml:space="preserve"> </w:t>
      </w:r>
    </w:p>
    <w:p w14:paraId="5BFD4BB8" w14:textId="77777777" w:rsidR="00D10794" w:rsidRDefault="00D10794" w:rsidP="00D10794">
      <w:pPr>
        <w:spacing w:after="0"/>
        <w:rPr>
          <w:rFonts w:cs="Arial"/>
        </w:rPr>
      </w:pPr>
    </w:p>
    <w:p w14:paraId="1F4EA730" w14:textId="24BD585D" w:rsidR="00D10794" w:rsidRDefault="00D10794" w:rsidP="00D10794">
      <w:pPr>
        <w:spacing w:after="0"/>
        <w:rPr>
          <w:rFonts w:cs="Arial"/>
        </w:rPr>
      </w:pPr>
      <w:r>
        <w:rPr>
          <w:rFonts w:cs="Arial"/>
        </w:rPr>
        <w:t>T</w:t>
      </w:r>
      <w:r w:rsidRPr="00ED44A2">
        <w:rPr>
          <w:rFonts w:cs="Arial"/>
        </w:rPr>
        <w:t>here are still uncertainties surrounding the short and long</w:t>
      </w:r>
      <w:r>
        <w:rPr>
          <w:rFonts w:cs="Arial"/>
        </w:rPr>
        <w:t>-</w:t>
      </w:r>
      <w:r w:rsidRPr="00ED44A2">
        <w:rPr>
          <w:rFonts w:cs="Arial"/>
        </w:rPr>
        <w:t>term impact of the pandemic</w:t>
      </w:r>
      <w:r>
        <w:rPr>
          <w:rFonts w:cs="Arial"/>
        </w:rPr>
        <w:t xml:space="preserve"> factored into the </w:t>
      </w:r>
      <w:r w:rsidR="00C12E36">
        <w:rPr>
          <w:rFonts w:cs="Arial"/>
        </w:rPr>
        <w:t>20</w:t>
      </w:r>
      <w:r>
        <w:rPr>
          <w:rFonts w:cs="Arial"/>
        </w:rPr>
        <w:t>21/22 budget. Any</w:t>
      </w:r>
      <w:r w:rsidRPr="00ED44A2">
        <w:rPr>
          <w:rFonts w:cs="Arial"/>
        </w:rPr>
        <w:t xml:space="preserve"> underlying and </w:t>
      </w:r>
      <w:r w:rsidR="00C12E36" w:rsidRPr="00ED44A2">
        <w:rPr>
          <w:rFonts w:cs="Arial"/>
        </w:rPr>
        <w:t>long-term</w:t>
      </w:r>
      <w:r w:rsidRPr="00ED44A2">
        <w:rPr>
          <w:rFonts w:cs="Arial"/>
        </w:rPr>
        <w:t xml:space="preserve"> pressures </w:t>
      </w:r>
      <w:proofErr w:type="gramStart"/>
      <w:r w:rsidRPr="00ED44A2">
        <w:rPr>
          <w:rFonts w:cs="Arial"/>
        </w:rPr>
        <w:t>as a result of</w:t>
      </w:r>
      <w:proofErr w:type="gramEnd"/>
      <w:r w:rsidRPr="00ED44A2">
        <w:rPr>
          <w:rFonts w:cs="Arial"/>
        </w:rPr>
        <w:t xml:space="preserve"> the pandemic will need to be reviewed and included within the MTFS if required.</w:t>
      </w:r>
      <w:r>
        <w:rPr>
          <w:rFonts w:cs="Arial"/>
        </w:rPr>
        <w:t xml:space="preserve"> </w:t>
      </w:r>
      <w:r w:rsidRPr="00A612A3">
        <w:rPr>
          <w:rFonts w:cs="Arial"/>
        </w:rPr>
        <w:t>Some additional Covid</w:t>
      </w:r>
      <w:r>
        <w:rPr>
          <w:rFonts w:cs="Arial"/>
        </w:rPr>
        <w:t>-19</w:t>
      </w:r>
      <w:r w:rsidRPr="00A612A3">
        <w:rPr>
          <w:rFonts w:cs="Arial"/>
        </w:rPr>
        <w:t xml:space="preserve"> funding has already been provided by Government for the year ahead to support social </w:t>
      </w:r>
      <w:r w:rsidR="00C12E36" w:rsidRPr="00A612A3">
        <w:rPr>
          <w:rFonts w:cs="Arial"/>
        </w:rPr>
        <w:t>care,</w:t>
      </w:r>
      <w:r w:rsidRPr="00A612A3">
        <w:rPr>
          <w:rFonts w:cs="Arial"/>
        </w:rPr>
        <w:t xml:space="preserve"> but the scale and duration of such support may be more limited compared to last year.  </w:t>
      </w:r>
      <w:r w:rsidRPr="00CC54A8">
        <w:rPr>
          <w:rFonts w:cs="Arial"/>
        </w:rPr>
        <w:t xml:space="preserve"> </w:t>
      </w:r>
      <w:r w:rsidRPr="00B739B9">
        <w:rPr>
          <w:rFonts w:cs="Arial"/>
        </w:rPr>
        <w:t xml:space="preserve">A detailed review is taking place to </w:t>
      </w:r>
      <w:r>
        <w:rPr>
          <w:rFonts w:cs="Arial"/>
        </w:rPr>
        <w:t>closely</w:t>
      </w:r>
      <w:r w:rsidRPr="00B739B9">
        <w:rPr>
          <w:rFonts w:cs="Arial"/>
        </w:rPr>
        <w:t xml:space="preserve"> review the demand and cost of placements to understand further the impact on the budget position, the variances and support the forecast. </w:t>
      </w:r>
    </w:p>
    <w:p w14:paraId="2770B202" w14:textId="77777777" w:rsidR="00D10794" w:rsidRDefault="00D10794" w:rsidP="00D10794">
      <w:pPr>
        <w:spacing w:after="0"/>
        <w:rPr>
          <w:rFonts w:cs="Arial"/>
        </w:rPr>
      </w:pPr>
    </w:p>
    <w:p w14:paraId="2969BAD7" w14:textId="77777777" w:rsidR="00D10794" w:rsidRDefault="00D10794" w:rsidP="00D10794">
      <w:pPr>
        <w:spacing w:after="0"/>
        <w:rPr>
          <w:rFonts w:cs="Arial"/>
        </w:rPr>
      </w:pPr>
      <w:r>
        <w:rPr>
          <w:rFonts w:cs="Arial"/>
        </w:rPr>
        <w:t xml:space="preserve">The service had been due in 2020/21, as part of the previously agreed savings programme, to deliver a significant level of savings £35.452m to stay within their financial envelope. Due to the pandemic a significant proportion has been unavoidably delayed (c£23m). However additional income during this period has been recovered partly helping along with government grants to offset the increased pressures.  </w:t>
      </w:r>
    </w:p>
    <w:p w14:paraId="583181DA" w14:textId="77777777" w:rsidR="00D10794" w:rsidRDefault="00D10794" w:rsidP="00D10794">
      <w:pPr>
        <w:spacing w:after="0"/>
        <w:rPr>
          <w:rFonts w:cs="Arial"/>
        </w:rPr>
      </w:pPr>
    </w:p>
    <w:p w14:paraId="7E4F676D" w14:textId="77777777" w:rsidR="00D10794" w:rsidRDefault="00D10794" w:rsidP="00D10794">
      <w:pPr>
        <w:spacing w:after="0"/>
        <w:rPr>
          <w:rFonts w:cs="Arial"/>
        </w:rPr>
      </w:pPr>
      <w:r>
        <w:rPr>
          <w:rFonts w:cs="Arial"/>
        </w:rPr>
        <w:t>T</w:t>
      </w:r>
      <w:r w:rsidRPr="00B739B9">
        <w:rPr>
          <w:rFonts w:cs="Arial"/>
        </w:rPr>
        <w:t>he</w:t>
      </w:r>
      <w:r>
        <w:rPr>
          <w:rFonts w:cs="Arial"/>
        </w:rPr>
        <w:t xml:space="preserve"> </w:t>
      </w:r>
      <w:r w:rsidRPr="00B739B9">
        <w:rPr>
          <w:rFonts w:cs="Arial"/>
        </w:rPr>
        <w:t xml:space="preserve">significant variances across a number of services in the directorate </w:t>
      </w:r>
      <w:r>
        <w:rPr>
          <w:rFonts w:cs="Arial"/>
        </w:rPr>
        <w:t>are also mainly attributable to the pandemic with an i</w:t>
      </w:r>
      <w:r w:rsidRPr="00B739B9">
        <w:rPr>
          <w:rFonts w:cs="Arial"/>
        </w:rPr>
        <w:t xml:space="preserve">ncreased demand </w:t>
      </w:r>
      <w:r>
        <w:rPr>
          <w:rFonts w:cs="Arial"/>
        </w:rPr>
        <w:t xml:space="preserve">higher than forecast </w:t>
      </w:r>
      <w:r w:rsidRPr="00B739B9">
        <w:rPr>
          <w:rFonts w:cs="Arial"/>
        </w:rPr>
        <w:t>in non-residential services</w:t>
      </w:r>
      <w:r w:rsidRPr="00155090">
        <w:rPr>
          <w:rFonts w:cs="Arial"/>
        </w:rPr>
        <w:t xml:space="preserve">, for example home care, as families have sought to find alternatives to residential and nursing care. This has </w:t>
      </w:r>
      <w:r>
        <w:rPr>
          <w:rFonts w:cs="Arial"/>
        </w:rPr>
        <w:t>also</w:t>
      </w:r>
      <w:r w:rsidRPr="00155090">
        <w:rPr>
          <w:rFonts w:cs="Arial"/>
        </w:rPr>
        <w:t xml:space="preserve"> impacted on</w:t>
      </w:r>
      <w:r>
        <w:rPr>
          <w:rFonts w:cs="Arial"/>
        </w:rPr>
        <w:t xml:space="preserve"> care home</w:t>
      </w:r>
      <w:r w:rsidRPr="00155090">
        <w:rPr>
          <w:rFonts w:cs="Arial"/>
        </w:rPr>
        <w:t xml:space="preserve"> occupancy and thereby income levels across</w:t>
      </w:r>
      <w:r w:rsidRPr="00B739B9">
        <w:rPr>
          <w:rFonts w:cs="Arial"/>
        </w:rPr>
        <w:t xml:space="preserve"> our in-house residential services</w:t>
      </w:r>
      <w:r>
        <w:rPr>
          <w:rFonts w:cs="Arial"/>
        </w:rPr>
        <w:t xml:space="preserve"> and day services at a time when increased staffing requirements and funding has been necessary to ensure safe care is provided</w:t>
      </w:r>
      <w:r w:rsidRPr="00B739B9">
        <w:rPr>
          <w:rFonts w:cs="Arial"/>
        </w:rPr>
        <w:t xml:space="preserve">.  </w:t>
      </w:r>
    </w:p>
    <w:p w14:paraId="473FBBA1" w14:textId="77777777" w:rsidR="00D10794" w:rsidRDefault="00D10794" w:rsidP="00D10794">
      <w:pPr>
        <w:spacing w:after="0"/>
        <w:rPr>
          <w:rFonts w:cs="Arial"/>
        </w:rPr>
      </w:pPr>
    </w:p>
    <w:p w14:paraId="730DF337" w14:textId="77777777" w:rsidR="00D10794" w:rsidRDefault="00D10794" w:rsidP="00D10794">
      <w:pPr>
        <w:spacing w:after="0"/>
        <w:rPr>
          <w:rFonts w:cs="Arial"/>
        </w:rPr>
      </w:pPr>
    </w:p>
    <w:p w14:paraId="79387C1D" w14:textId="77777777" w:rsidR="00D10794" w:rsidRPr="00B90474" w:rsidRDefault="00D10794" w:rsidP="00D10794">
      <w:pPr>
        <w:spacing w:after="0"/>
        <w:rPr>
          <w:rFonts w:cs="Arial"/>
          <w:highlight w:val="green"/>
        </w:rPr>
      </w:pPr>
    </w:p>
    <w:p w14:paraId="06FE5D8C" w14:textId="77777777" w:rsidR="00D10794" w:rsidRDefault="00D10794" w:rsidP="00D10794">
      <w:pPr>
        <w:spacing w:after="0"/>
        <w:rPr>
          <w:rFonts w:cs="Arial"/>
        </w:rPr>
      </w:pPr>
    </w:p>
    <w:p w14:paraId="675784D2" w14:textId="77777777" w:rsidR="00D10794" w:rsidRPr="00B90474" w:rsidRDefault="00D10794" w:rsidP="00D10794">
      <w:pPr>
        <w:spacing w:after="0"/>
        <w:rPr>
          <w:rFonts w:cs="Arial"/>
          <w:highlight w:val="green"/>
        </w:rPr>
      </w:pPr>
    </w:p>
    <w:p w14:paraId="238F58A3" w14:textId="77777777" w:rsidR="00D10794" w:rsidRPr="006A6292" w:rsidRDefault="00D10794" w:rsidP="00D10794">
      <w:pPr>
        <w:spacing w:after="0"/>
        <w:rPr>
          <w:rFonts w:cs="Arial"/>
        </w:rPr>
      </w:pPr>
      <w:r w:rsidRPr="006A6292">
        <w:rPr>
          <w:rFonts w:cs="Arial"/>
        </w:rPr>
        <w:t>The most significant variances within the directorate are as follows:</w:t>
      </w:r>
    </w:p>
    <w:p w14:paraId="4D4831B7" w14:textId="77777777" w:rsidR="00D10794" w:rsidRPr="00B90474" w:rsidRDefault="00D10794" w:rsidP="00D10794">
      <w:pPr>
        <w:spacing w:after="0"/>
        <w:contextualSpacing/>
        <w:rPr>
          <w:rFonts w:cs="Arial"/>
          <w:i/>
          <w:color w:val="FF0000"/>
          <w:highlight w:val="green"/>
        </w:rPr>
      </w:pPr>
    </w:p>
    <w:p w14:paraId="65A824C7" w14:textId="77777777" w:rsidR="00D10794" w:rsidRPr="001B6369" w:rsidRDefault="00D10794" w:rsidP="00D10794">
      <w:pPr>
        <w:tabs>
          <w:tab w:val="left" w:pos="0"/>
          <w:tab w:val="left" w:pos="1418"/>
        </w:tabs>
        <w:spacing w:after="0"/>
        <w:contextualSpacing/>
        <w:rPr>
          <w:rFonts w:cs="Arial"/>
          <w:b/>
        </w:rPr>
      </w:pPr>
      <w:r>
        <w:rPr>
          <w:rFonts w:cs="Arial"/>
          <w:b/>
        </w:rPr>
        <w:t xml:space="preserve">In House </w:t>
      </w:r>
      <w:r w:rsidRPr="001B6369">
        <w:rPr>
          <w:rFonts w:cs="Arial"/>
          <w:b/>
        </w:rPr>
        <w:t>Disability</w:t>
      </w:r>
      <w:r>
        <w:rPr>
          <w:rFonts w:cs="Arial"/>
          <w:b/>
        </w:rPr>
        <w:t xml:space="preserve"> Care</w:t>
      </w:r>
      <w:r w:rsidRPr="001B6369">
        <w:rPr>
          <w:rFonts w:cs="Arial"/>
          <w:b/>
        </w:rPr>
        <w:t xml:space="preserve"> Service (Adults) – overspend £19</w:t>
      </w:r>
      <w:r>
        <w:rPr>
          <w:rFonts w:cs="Arial"/>
          <w:b/>
        </w:rPr>
        <w:t>3</w:t>
      </w:r>
      <w:r w:rsidRPr="001B6369">
        <w:rPr>
          <w:rFonts w:cs="Arial"/>
          <w:b/>
        </w:rPr>
        <w:t>,000</w:t>
      </w:r>
    </w:p>
    <w:p w14:paraId="7E97C453" w14:textId="77777777" w:rsidR="00D10794" w:rsidRDefault="00D10794" w:rsidP="00D10794">
      <w:pPr>
        <w:spacing w:after="0"/>
      </w:pPr>
      <w:r>
        <w:t>These services are predominantly delivered to adults aged 18 to 65 yrs. The great majority of people using these services have learning disabilities, often in combination with physical disability or complex health conditions.  The services delivered include Short Break services, Supported living, Day Services, Enablement, Employment Support and Shared Lives.</w:t>
      </w:r>
    </w:p>
    <w:p w14:paraId="1F53A2C9" w14:textId="77777777" w:rsidR="00D10794" w:rsidRDefault="00D10794" w:rsidP="00D10794">
      <w:pPr>
        <w:spacing w:after="0"/>
      </w:pPr>
    </w:p>
    <w:p w14:paraId="6698AB98" w14:textId="77777777" w:rsidR="00D10794" w:rsidRDefault="00D10794" w:rsidP="00D10794">
      <w:pPr>
        <w:spacing w:after="0"/>
        <w:rPr>
          <w:rFonts w:cs="Arial"/>
        </w:rPr>
      </w:pPr>
      <w:r w:rsidRPr="001B6369">
        <w:rPr>
          <w:rFonts w:cs="Arial"/>
        </w:rPr>
        <w:t xml:space="preserve">The </w:t>
      </w:r>
      <w:r>
        <w:rPr>
          <w:rFonts w:cs="Arial"/>
        </w:rPr>
        <w:t xml:space="preserve">provider </w:t>
      </w:r>
      <w:r w:rsidRPr="001B6369">
        <w:rPr>
          <w:rFonts w:cs="Arial"/>
        </w:rPr>
        <w:t xml:space="preserve">service operates with a gross budget of £34.196m and has an income target of £33.867m resulting in a net budget of £0.329m. </w:t>
      </w:r>
      <w:r>
        <w:t>Much of this income is linked to the support commissioned by the council's own Learning Disability and Autism Social Work service with smaller contributions from the NHS for specific individuals, and contributions from charges to individuals.</w:t>
      </w:r>
    </w:p>
    <w:p w14:paraId="09FBD75D" w14:textId="77777777" w:rsidR="00D10794" w:rsidRPr="001B6369" w:rsidRDefault="00D10794" w:rsidP="00D10794">
      <w:pPr>
        <w:spacing w:after="0"/>
        <w:rPr>
          <w:rFonts w:cs="Arial"/>
        </w:rPr>
      </w:pPr>
    </w:p>
    <w:p w14:paraId="1D81C8E7" w14:textId="77777777" w:rsidR="00D10794" w:rsidRDefault="00D10794" w:rsidP="00D10794">
      <w:pPr>
        <w:spacing w:after="0"/>
        <w:contextualSpacing/>
        <w:rPr>
          <w:rFonts w:cs="Arial"/>
          <w:highlight w:val="green"/>
        </w:rPr>
      </w:pPr>
      <w:r w:rsidRPr="001B6369">
        <w:rPr>
          <w:rFonts w:cs="Arial"/>
        </w:rPr>
        <w:t>Th</w:t>
      </w:r>
      <w:r>
        <w:rPr>
          <w:rFonts w:cs="Arial"/>
        </w:rPr>
        <w:t>e overspend position</w:t>
      </w:r>
      <w:r w:rsidRPr="001B6369">
        <w:rPr>
          <w:rFonts w:cs="Arial"/>
        </w:rPr>
        <w:t xml:space="preserve"> is predominantly due to </w:t>
      </w:r>
      <w:r>
        <w:rPr>
          <w:rFonts w:cs="Arial"/>
        </w:rPr>
        <w:t xml:space="preserve">the delays in delivery of </w:t>
      </w:r>
      <w:r w:rsidRPr="001B6369">
        <w:rPr>
          <w:rFonts w:cs="Arial"/>
        </w:rPr>
        <w:t>budgeted savings on remodelling the supported living service, due to the Covid-19 pandemic</w:t>
      </w:r>
      <w:r>
        <w:rPr>
          <w:rFonts w:cs="Arial"/>
        </w:rPr>
        <w:t xml:space="preserve"> </w:t>
      </w:r>
      <w:r>
        <w:t>and a decrease in day service attendance and therefore service user income</w:t>
      </w:r>
      <w:r w:rsidRPr="001B6369">
        <w:rPr>
          <w:rFonts w:cs="Arial"/>
        </w:rPr>
        <w:t xml:space="preserve">. However, these pressures have been offset by underspends across day </w:t>
      </w:r>
      <w:r>
        <w:rPr>
          <w:rFonts w:cs="Arial"/>
        </w:rPr>
        <w:t xml:space="preserve">and short breaks </w:t>
      </w:r>
      <w:r w:rsidRPr="001B6369">
        <w:rPr>
          <w:rFonts w:cs="Arial"/>
        </w:rPr>
        <w:t>services and staffing budgets.</w:t>
      </w:r>
      <w:r>
        <w:rPr>
          <w:rFonts w:cs="Arial"/>
          <w:highlight w:val="green"/>
        </w:rPr>
        <w:t xml:space="preserve"> </w:t>
      </w:r>
    </w:p>
    <w:p w14:paraId="17050FA6" w14:textId="77777777" w:rsidR="00D10794" w:rsidRDefault="00D10794" w:rsidP="00D10794">
      <w:pPr>
        <w:spacing w:after="0"/>
        <w:contextualSpacing/>
        <w:rPr>
          <w:rFonts w:cs="Arial"/>
          <w:highlight w:val="green"/>
        </w:rPr>
      </w:pPr>
    </w:p>
    <w:p w14:paraId="383622F4" w14:textId="77777777" w:rsidR="00D10794" w:rsidRDefault="00D10794" w:rsidP="00D10794">
      <w:r>
        <w:t xml:space="preserve">The service has received support from various Government Covid-19 related grants i.e., infection control grant, workforce development grant and the rapid testing grant totalling </w:t>
      </w:r>
      <w:r w:rsidRPr="007D32AE">
        <w:t>£</w:t>
      </w:r>
      <w:r>
        <w:t xml:space="preserve">343,000 however this will have been spent on direct Covid-19 related activity. The pandemic has placed significant pressures on all provider </w:t>
      </w:r>
      <w:proofErr w:type="gramStart"/>
      <w:r>
        <w:t>services</w:t>
      </w:r>
      <w:proofErr w:type="gramEnd"/>
      <w:r>
        <w:t xml:space="preserve"> and this is reflected in the overspend position. </w:t>
      </w:r>
    </w:p>
    <w:p w14:paraId="0FE7C7B4" w14:textId="77777777" w:rsidR="00D10794" w:rsidRPr="00B90474" w:rsidRDefault="00D10794" w:rsidP="00D10794">
      <w:pPr>
        <w:spacing w:after="0"/>
        <w:rPr>
          <w:rFonts w:cs="Arial"/>
          <w:i/>
          <w:color w:val="FF0000"/>
          <w:highlight w:val="green"/>
        </w:rPr>
      </w:pPr>
    </w:p>
    <w:p w14:paraId="49E50ECB" w14:textId="77777777" w:rsidR="00D10794" w:rsidRPr="001B6369" w:rsidRDefault="00D10794" w:rsidP="00D10794">
      <w:pPr>
        <w:spacing w:after="0"/>
        <w:rPr>
          <w:rFonts w:cs="Arial"/>
        </w:rPr>
      </w:pPr>
      <w:r w:rsidRPr="001B6369">
        <w:rPr>
          <w:rFonts w:cs="Arial"/>
          <w:b/>
        </w:rPr>
        <w:t>Learning Disability, Autism &amp; Mental Health – overspend £11.049m</w:t>
      </w:r>
    </w:p>
    <w:p w14:paraId="737569BE" w14:textId="77777777" w:rsidR="00D10794" w:rsidRDefault="00D10794" w:rsidP="00D10794">
      <w:pPr>
        <w:spacing w:after="0"/>
        <w:rPr>
          <w:rFonts w:cs="Arial"/>
        </w:rPr>
      </w:pPr>
    </w:p>
    <w:p w14:paraId="7A66A2B8" w14:textId="77777777" w:rsidR="00D10794" w:rsidRPr="00E62680" w:rsidRDefault="00D10794" w:rsidP="00D10794">
      <w:pPr>
        <w:spacing w:after="0"/>
        <w:rPr>
          <w:rFonts w:cs="Arial"/>
          <w:bCs/>
          <w:i/>
          <w:iCs/>
        </w:rPr>
      </w:pPr>
      <w:r w:rsidRPr="00E62680">
        <w:rPr>
          <w:rFonts w:cs="Arial"/>
          <w:bCs/>
          <w:i/>
          <w:iCs/>
        </w:rPr>
        <w:t>Learning Disability and Autism Social Work Service</w:t>
      </w:r>
    </w:p>
    <w:p w14:paraId="4E7D610F" w14:textId="77777777" w:rsidR="00D10794" w:rsidRDefault="00D10794" w:rsidP="00D10794">
      <w:pPr>
        <w:spacing w:after="0"/>
        <w:rPr>
          <w:rFonts w:cs="Arial"/>
        </w:rPr>
      </w:pPr>
    </w:p>
    <w:p w14:paraId="3B014BCD" w14:textId="77777777" w:rsidR="00D10794" w:rsidRDefault="00D10794" w:rsidP="00D10794">
      <w:pPr>
        <w:spacing w:after="0"/>
        <w:rPr>
          <w:rFonts w:cs="Arial"/>
        </w:rPr>
      </w:pPr>
      <w:r>
        <w:rPr>
          <w:rFonts w:cs="Arial"/>
        </w:rPr>
        <w:t xml:space="preserve">This service comprises teams of social workers and other staff working to assess individual needs, and then plan and commission appropriate support from a wide range of organisations including councils itself, voluntary </w:t>
      </w:r>
      <w:proofErr w:type="gramStart"/>
      <w:r>
        <w:rPr>
          <w:rFonts w:cs="Arial"/>
        </w:rPr>
        <w:t>organisations</w:t>
      </w:r>
      <w:proofErr w:type="gramEnd"/>
      <w:r>
        <w:rPr>
          <w:rFonts w:cs="Arial"/>
        </w:rPr>
        <w:t xml:space="preserve"> and private companies</w:t>
      </w:r>
    </w:p>
    <w:p w14:paraId="3BC5B8A9" w14:textId="77777777" w:rsidR="00D10794" w:rsidRDefault="00D10794" w:rsidP="00D10794">
      <w:pPr>
        <w:spacing w:after="0"/>
        <w:rPr>
          <w:rFonts w:cs="Arial"/>
        </w:rPr>
      </w:pPr>
    </w:p>
    <w:p w14:paraId="2B4A0649" w14:textId="77777777" w:rsidR="00D10794" w:rsidRPr="001B6369" w:rsidRDefault="00D10794" w:rsidP="00D10794">
      <w:pPr>
        <w:spacing w:after="0"/>
        <w:rPr>
          <w:rFonts w:cs="Arial"/>
        </w:rPr>
      </w:pPr>
      <w:r w:rsidRPr="001B6369">
        <w:rPr>
          <w:rFonts w:cs="Arial"/>
        </w:rPr>
        <w:t>The learning disability and autism service has overspent by £14.12</w:t>
      </w:r>
      <w:r>
        <w:rPr>
          <w:rFonts w:cs="Arial"/>
        </w:rPr>
        <w:t>4</w:t>
      </w:r>
      <w:r w:rsidRPr="001B6369">
        <w:rPr>
          <w:rFonts w:cs="Arial"/>
        </w:rPr>
        <w:t xml:space="preserve">m. </w:t>
      </w:r>
      <w:r>
        <w:rPr>
          <w:rFonts w:cs="Arial"/>
        </w:rPr>
        <w:t xml:space="preserve">This includes the budget impact from providing funding to address the significant waiting list in the Deprivation of Liberty Safeguards Service (DOLS) which affects service users in all services. The service has also not drawn down a previously agreed £1.238m from reserves to support the staffing budget as this was not required given the overall position of the Adult Services budget. Aside from the adjustments above the staffing budget has underspent by £975,000 </w:t>
      </w:r>
      <w:proofErr w:type="gramStart"/>
      <w:r>
        <w:rPr>
          <w:rFonts w:cs="Arial"/>
        </w:rPr>
        <w:t>as a result of</w:t>
      </w:r>
      <w:proofErr w:type="gramEnd"/>
      <w:r>
        <w:rPr>
          <w:rFonts w:cs="Arial"/>
        </w:rPr>
        <w:t xml:space="preserve"> staffing vacancies throughout the year. </w:t>
      </w:r>
    </w:p>
    <w:p w14:paraId="51DFDEA8" w14:textId="77777777" w:rsidR="00D10794" w:rsidRDefault="00D10794" w:rsidP="00D10794">
      <w:pPr>
        <w:spacing w:after="0"/>
        <w:rPr>
          <w:rFonts w:cs="Arial"/>
          <w:highlight w:val="green"/>
        </w:rPr>
      </w:pPr>
    </w:p>
    <w:p w14:paraId="146DBF75" w14:textId="77777777" w:rsidR="00D10794" w:rsidRPr="00C109D5" w:rsidRDefault="00D10794" w:rsidP="00D10794">
      <w:pPr>
        <w:spacing w:after="0"/>
        <w:rPr>
          <w:rFonts w:cs="Arial"/>
        </w:rPr>
      </w:pPr>
      <w:r w:rsidRPr="00C109D5">
        <w:rPr>
          <w:rFonts w:cs="Arial"/>
        </w:rPr>
        <w:t>Commissioned services have reported an overspend of £6.79</w:t>
      </w:r>
      <w:r>
        <w:rPr>
          <w:rFonts w:cs="Arial"/>
        </w:rPr>
        <w:t>4</w:t>
      </w:r>
      <w:r w:rsidRPr="00C109D5">
        <w:rPr>
          <w:rFonts w:cs="Arial"/>
        </w:rPr>
        <w:t>m due to the impact of Covid-19, with the most significant being a forecast overspend of £4.337m in domiciliary care offset by underspends in residential and nursing care. In this area the levels of demand increases are significant</w:t>
      </w:r>
      <w:r w:rsidRPr="00155090">
        <w:t xml:space="preserve"> </w:t>
      </w:r>
      <w:r>
        <w:t>and reflect a change of support required during the pandemic. T</w:t>
      </w:r>
      <w:r w:rsidRPr="00C109D5">
        <w:rPr>
          <w:rFonts w:cs="Arial"/>
        </w:rPr>
        <w:t xml:space="preserve">he budget contains funding for an increase of 3%, but levels </w:t>
      </w:r>
      <w:r w:rsidRPr="00C109D5">
        <w:rPr>
          <w:rFonts w:cs="Arial"/>
        </w:rPr>
        <w:lastRenderedPageBreak/>
        <w:t>of demand for 2020/21 are</w:t>
      </w:r>
      <w:r>
        <w:rPr>
          <w:rFonts w:cs="Arial"/>
        </w:rPr>
        <w:t xml:space="preserve"> at </w:t>
      </w:r>
      <w:r w:rsidRPr="00C109D5">
        <w:rPr>
          <w:rFonts w:cs="Arial"/>
        </w:rPr>
        <w:t xml:space="preserve">11%. </w:t>
      </w:r>
      <w:r>
        <w:t xml:space="preserve">An in-depth review is currently taking place to assess the impact of increased demand on the </w:t>
      </w:r>
      <w:proofErr w:type="gramStart"/>
      <w:r>
        <w:t>medium term</w:t>
      </w:r>
      <w:proofErr w:type="gramEnd"/>
      <w:r>
        <w:t xml:space="preserve"> financial strategy and an update will be provided to Cabinet as part of the quarter 1 money matters reports. </w:t>
      </w:r>
    </w:p>
    <w:p w14:paraId="5156989C" w14:textId="77777777" w:rsidR="00D10794" w:rsidRPr="00C109D5" w:rsidRDefault="00D10794" w:rsidP="00D10794">
      <w:pPr>
        <w:spacing w:after="0"/>
        <w:rPr>
          <w:rFonts w:cs="Arial"/>
        </w:rPr>
      </w:pPr>
    </w:p>
    <w:p w14:paraId="02297FDA" w14:textId="77777777" w:rsidR="00D10794" w:rsidRDefault="00D10794" w:rsidP="00D10794">
      <w:pPr>
        <w:spacing w:after="0"/>
      </w:pPr>
      <w:r w:rsidRPr="00C109D5">
        <w:rPr>
          <w:rFonts w:cs="Arial"/>
        </w:rPr>
        <w:t xml:space="preserve">In addition, there are pressures due to underachievement of savings of £2.907m, again due to the pandemic. </w:t>
      </w:r>
      <w:r>
        <w:t>There is a further overspend of £3.900m due to current and historic void claims which is a long-standing issue and is being looked at through the modernisation of supported living savings programme.</w:t>
      </w:r>
    </w:p>
    <w:p w14:paraId="0D1A863F" w14:textId="77777777" w:rsidR="00D10794" w:rsidRPr="00B90474" w:rsidRDefault="00D10794" w:rsidP="00D10794">
      <w:pPr>
        <w:spacing w:after="0"/>
        <w:rPr>
          <w:rFonts w:cs="Arial"/>
          <w:highlight w:val="green"/>
        </w:rPr>
      </w:pPr>
    </w:p>
    <w:p w14:paraId="4D9CCD45" w14:textId="77777777" w:rsidR="00D10794" w:rsidRPr="00C109D5" w:rsidRDefault="00D10794" w:rsidP="00D10794">
      <w:pPr>
        <w:spacing w:after="0"/>
        <w:rPr>
          <w:rFonts w:cs="Arial"/>
        </w:rPr>
      </w:pPr>
      <w:r w:rsidRPr="00C109D5">
        <w:rPr>
          <w:rFonts w:cs="Arial"/>
        </w:rPr>
        <w:t>These pressures are partially mitigated by overachievement of the saving relating to residential reviews (£341,000) and net additional income of £4.230m</w:t>
      </w:r>
      <w:r>
        <w:rPr>
          <w:rFonts w:cs="Arial"/>
        </w:rPr>
        <w:t xml:space="preserve"> predominantly from the NHS. </w:t>
      </w:r>
    </w:p>
    <w:p w14:paraId="137BAB3F" w14:textId="77777777" w:rsidR="00D10794" w:rsidRPr="00382E1E" w:rsidRDefault="00D10794" w:rsidP="00D10794">
      <w:pPr>
        <w:spacing w:after="0"/>
        <w:rPr>
          <w:rFonts w:cs="Arial"/>
          <w:b/>
          <w:bCs/>
          <w:i/>
          <w:iCs/>
        </w:rPr>
      </w:pPr>
    </w:p>
    <w:p w14:paraId="0A655C9E" w14:textId="77777777" w:rsidR="00D10794" w:rsidRPr="00E62680" w:rsidRDefault="00D10794" w:rsidP="00D10794">
      <w:pPr>
        <w:spacing w:after="0"/>
        <w:rPr>
          <w:rFonts w:cs="Arial"/>
          <w:i/>
          <w:iCs/>
        </w:rPr>
      </w:pPr>
      <w:r w:rsidRPr="00E62680">
        <w:rPr>
          <w:rFonts w:cs="Arial"/>
          <w:i/>
          <w:iCs/>
        </w:rPr>
        <w:t>Mental Health Service</w:t>
      </w:r>
    </w:p>
    <w:p w14:paraId="6D9ECCDF" w14:textId="77777777" w:rsidR="00D10794" w:rsidRPr="00B90474" w:rsidRDefault="00D10794" w:rsidP="00D10794">
      <w:pPr>
        <w:spacing w:after="0"/>
        <w:rPr>
          <w:rFonts w:cs="Arial"/>
          <w:highlight w:val="green"/>
        </w:rPr>
      </w:pPr>
    </w:p>
    <w:p w14:paraId="00267F0D" w14:textId="60FCDEF3" w:rsidR="00D10794" w:rsidRDefault="00D10794" w:rsidP="00D10794">
      <w:pPr>
        <w:spacing w:after="0"/>
        <w:rPr>
          <w:rFonts w:cs="Arial"/>
        </w:rPr>
      </w:pPr>
      <w:r w:rsidRPr="00382E1E">
        <w:rPr>
          <w:rFonts w:cs="Arial"/>
        </w:rPr>
        <w:t>The mental health service has underspent by £3.075m, predominantly due to staffing underspends of £1.714m. Commissioned services</w:t>
      </w:r>
      <w:r>
        <w:rPr>
          <w:rFonts w:cs="Arial"/>
        </w:rPr>
        <w:t xml:space="preserve"> (</w:t>
      </w:r>
      <w:proofErr w:type="spellStart"/>
      <w:r>
        <w:rPr>
          <w:rFonts w:cs="Arial"/>
        </w:rPr>
        <w:t>eg</w:t>
      </w:r>
      <w:proofErr w:type="spellEnd"/>
      <w:r>
        <w:rPr>
          <w:rFonts w:cs="Arial"/>
        </w:rPr>
        <w:t xml:space="preserve"> residential care, domiciliary care etc)</w:t>
      </w:r>
      <w:r w:rsidRPr="00382E1E">
        <w:rPr>
          <w:rFonts w:cs="Arial"/>
        </w:rPr>
        <w:t xml:space="preserve"> have overspent by £404,000, which is mainly due to additional demand that the service has experienced resulting from the Covid-19 pandemic</w:t>
      </w:r>
      <w:r>
        <w:rPr>
          <w:rFonts w:cs="Arial"/>
        </w:rPr>
        <w:t xml:space="preserve">. </w:t>
      </w:r>
      <w:r w:rsidRPr="00382E1E">
        <w:rPr>
          <w:rFonts w:cs="Arial"/>
        </w:rPr>
        <w:t>Community based services</w:t>
      </w:r>
      <w:r>
        <w:rPr>
          <w:rFonts w:cs="Arial"/>
        </w:rPr>
        <w:t xml:space="preserve"> </w:t>
      </w:r>
      <w:r w:rsidRPr="00382E1E">
        <w:rPr>
          <w:rFonts w:cs="Arial"/>
        </w:rPr>
        <w:t>have underspent by £1.765m mainly due to the overachievement of savings, and some delays in commissioning new services.</w:t>
      </w:r>
    </w:p>
    <w:p w14:paraId="5FE4C8E6" w14:textId="77777777" w:rsidR="00D10794" w:rsidRDefault="00D10794" w:rsidP="00D10794">
      <w:pPr>
        <w:spacing w:after="0"/>
        <w:rPr>
          <w:rFonts w:cs="Arial"/>
        </w:rPr>
      </w:pPr>
    </w:p>
    <w:p w14:paraId="66FBFBB7" w14:textId="77777777" w:rsidR="00D10794" w:rsidRDefault="00D10794" w:rsidP="00D10794">
      <w:pPr>
        <w:spacing w:after="0"/>
        <w:rPr>
          <w:rFonts w:cs="Arial"/>
        </w:rPr>
      </w:pPr>
      <w:r>
        <w:rPr>
          <w:rFonts w:cs="Arial"/>
        </w:rPr>
        <w:t xml:space="preserve">The demand and need levels experienced by this service in the early stages of 2021/22 will be closely monitored as the pandemic goes through its recovery stage and restrictions are lifted. There may be additional investment required in this service in future years that would need to be reflected in the </w:t>
      </w:r>
      <w:proofErr w:type="gramStart"/>
      <w:r>
        <w:rPr>
          <w:rFonts w:cs="Arial"/>
        </w:rPr>
        <w:t>medium term</w:t>
      </w:r>
      <w:proofErr w:type="gramEnd"/>
      <w:r>
        <w:rPr>
          <w:rFonts w:cs="Arial"/>
        </w:rPr>
        <w:t xml:space="preserve"> financial strategy. </w:t>
      </w:r>
    </w:p>
    <w:p w14:paraId="6BF493BD" w14:textId="77777777" w:rsidR="00D10794" w:rsidRPr="00B90474" w:rsidRDefault="00D10794" w:rsidP="00D10794">
      <w:pPr>
        <w:spacing w:after="0"/>
        <w:rPr>
          <w:rFonts w:cs="Arial"/>
          <w:i/>
          <w:color w:val="FF0000"/>
          <w:highlight w:val="green"/>
        </w:rPr>
      </w:pPr>
    </w:p>
    <w:p w14:paraId="3338C887" w14:textId="0EF3A12F" w:rsidR="00D10794" w:rsidRPr="00784C34" w:rsidRDefault="00D10794" w:rsidP="00D10794">
      <w:pPr>
        <w:spacing w:after="0"/>
        <w:rPr>
          <w:rFonts w:cs="Arial"/>
        </w:rPr>
      </w:pPr>
      <w:r w:rsidRPr="00784C34">
        <w:rPr>
          <w:rFonts w:cs="Arial"/>
          <w:b/>
        </w:rPr>
        <w:t>Residential and day care services for older people – overspend £3.806m</w:t>
      </w:r>
      <w:r w:rsidRPr="00784C34">
        <w:rPr>
          <w:rFonts w:cs="Arial"/>
        </w:rPr>
        <w:t xml:space="preserve"> </w:t>
      </w:r>
    </w:p>
    <w:p w14:paraId="2471A475" w14:textId="77777777" w:rsidR="00D10794" w:rsidRPr="00784C34" w:rsidRDefault="00D10794" w:rsidP="00D10794">
      <w:pPr>
        <w:spacing w:after="0"/>
        <w:rPr>
          <w:rFonts w:cs="Arial"/>
        </w:rPr>
      </w:pPr>
      <w:r w:rsidRPr="00784C34">
        <w:rPr>
          <w:rFonts w:cs="Arial"/>
        </w:rPr>
        <w:t xml:space="preserve">The service operates with a gross budget of £22.763m and has an income target of £23.107m resulting in a net budget of -£0.344m. </w:t>
      </w:r>
      <w:r>
        <w:t>Income comes from budgets held by the Social Care Social work teams who commission services on behalf of many individuals, but there is also a significant share which comes from older people who are 'self-funding' their care.</w:t>
      </w:r>
    </w:p>
    <w:p w14:paraId="36BEE5EF" w14:textId="77777777" w:rsidR="00D10794" w:rsidRPr="00784C34" w:rsidRDefault="00D10794" w:rsidP="00D10794">
      <w:pPr>
        <w:spacing w:after="0"/>
        <w:rPr>
          <w:rFonts w:cs="Arial"/>
        </w:rPr>
      </w:pPr>
    </w:p>
    <w:p w14:paraId="5487DBF6" w14:textId="77777777" w:rsidR="00D10794" w:rsidRDefault="00D10794" w:rsidP="00D10794">
      <w:pPr>
        <w:spacing w:after="0"/>
        <w:rPr>
          <w:rFonts w:cs="Arial"/>
        </w:rPr>
      </w:pPr>
      <w:r w:rsidRPr="00784C34">
        <w:rPr>
          <w:rFonts w:cs="Arial"/>
        </w:rPr>
        <w:t xml:space="preserve">The service has experienced staffing and agency pressures and this situation has been exacerbated </w:t>
      </w:r>
      <w:proofErr w:type="gramStart"/>
      <w:r w:rsidRPr="00784C34">
        <w:rPr>
          <w:rFonts w:cs="Arial"/>
        </w:rPr>
        <w:t>as a result of</w:t>
      </w:r>
      <w:proofErr w:type="gramEnd"/>
      <w:r w:rsidRPr="00784C34">
        <w:rPr>
          <w:rFonts w:cs="Arial"/>
        </w:rPr>
        <w:t xml:space="preserve"> Covid-19</w:t>
      </w:r>
      <w:r>
        <w:rPr>
          <w:rFonts w:cs="Arial"/>
        </w:rPr>
        <w:t xml:space="preserve"> pandemic</w:t>
      </w:r>
      <w:r w:rsidRPr="00784C34">
        <w:rPr>
          <w:rFonts w:cs="Arial"/>
        </w:rPr>
        <w:t>.  Despite the use of the auxiliary workforce which also included the use of day centre staff and volunteers, the service has had to call on a high level of agency workers to cover for sickness absence</w:t>
      </w:r>
      <w:r>
        <w:rPr>
          <w:rFonts w:cs="Arial"/>
        </w:rPr>
        <w:t>, staff shielding and isolating</w:t>
      </w:r>
      <w:r w:rsidRPr="00784C34">
        <w:rPr>
          <w:rFonts w:cs="Arial"/>
        </w:rPr>
        <w:t>.</w:t>
      </w:r>
      <w:r w:rsidRPr="00784C34">
        <w:rPr>
          <w:rFonts w:cs="Arial"/>
          <w:i/>
          <w:color w:val="FF0000"/>
        </w:rPr>
        <w:t xml:space="preserve"> </w:t>
      </w:r>
      <w:r w:rsidRPr="00784C34">
        <w:rPr>
          <w:rFonts w:cs="Arial"/>
        </w:rPr>
        <w:t xml:space="preserve">The overspend on staffing has totalled c£1.736m this financial year. </w:t>
      </w:r>
    </w:p>
    <w:p w14:paraId="7B0E59E9" w14:textId="77777777" w:rsidR="00D10794" w:rsidRDefault="00D10794" w:rsidP="00D10794">
      <w:pPr>
        <w:spacing w:after="0"/>
        <w:rPr>
          <w:rFonts w:cs="Arial"/>
        </w:rPr>
      </w:pPr>
    </w:p>
    <w:p w14:paraId="709C2EE9" w14:textId="77777777" w:rsidR="00D10794" w:rsidRDefault="00D10794" w:rsidP="00D10794">
      <w:pPr>
        <w:spacing w:after="0"/>
        <w:rPr>
          <w:rFonts w:cs="Arial"/>
        </w:rPr>
      </w:pPr>
      <w:r w:rsidRPr="00784C34">
        <w:rPr>
          <w:rFonts w:cs="Arial"/>
        </w:rPr>
        <w:t>The service is also experiencing a Covid</w:t>
      </w:r>
      <w:r>
        <w:rPr>
          <w:rFonts w:cs="Arial"/>
        </w:rPr>
        <w:t xml:space="preserve">-19 </w:t>
      </w:r>
      <w:r w:rsidRPr="00784C34">
        <w:rPr>
          <w:rFonts w:cs="Arial"/>
        </w:rPr>
        <w:t xml:space="preserve">reduction in income from residents, </w:t>
      </w:r>
      <w:r>
        <w:rPr>
          <w:rFonts w:cs="Arial"/>
        </w:rPr>
        <w:t xml:space="preserve">and this is because </w:t>
      </w:r>
      <w:r w:rsidRPr="00784C34">
        <w:rPr>
          <w:rFonts w:cs="Arial"/>
        </w:rPr>
        <w:t xml:space="preserve">occupancy has reduced from c.600 to c.470 resulting in an income shortfall from residents </w:t>
      </w:r>
      <w:r>
        <w:rPr>
          <w:rFonts w:cs="Arial"/>
        </w:rPr>
        <w:t>of</w:t>
      </w:r>
      <w:r w:rsidRPr="00784C34">
        <w:rPr>
          <w:rFonts w:cs="Arial"/>
        </w:rPr>
        <w:t xml:space="preserve"> £1.925m</w:t>
      </w:r>
      <w:r>
        <w:rPr>
          <w:rFonts w:cs="Arial"/>
        </w:rPr>
        <w:t xml:space="preserve">. </w:t>
      </w:r>
      <w:r>
        <w:t>Similar patterns of under occupancy and lost income are present in the equivalent independent sector services</w:t>
      </w:r>
    </w:p>
    <w:p w14:paraId="32C096CF" w14:textId="77777777" w:rsidR="00D10794" w:rsidRDefault="00D10794" w:rsidP="00D10794">
      <w:pPr>
        <w:spacing w:after="0"/>
        <w:rPr>
          <w:rFonts w:cs="Arial"/>
        </w:rPr>
      </w:pPr>
    </w:p>
    <w:p w14:paraId="216647E9" w14:textId="79DD85FC" w:rsidR="00D10794" w:rsidRDefault="00D10794" w:rsidP="00D10794">
      <w:r>
        <w:t xml:space="preserve">The shortfall in service user contributions in day services due to services needing to be closed has resulted in a shortfall in income of </w:t>
      </w:r>
      <w:r w:rsidR="002E5A99">
        <w:t>c£540,000</w:t>
      </w:r>
      <w:r>
        <w:t xml:space="preserve">. </w:t>
      </w:r>
    </w:p>
    <w:p w14:paraId="6BE17EC6" w14:textId="77777777" w:rsidR="00D10794" w:rsidRDefault="00D10794" w:rsidP="00D10794">
      <w:pPr>
        <w:spacing w:after="0"/>
        <w:rPr>
          <w:rFonts w:cs="Arial"/>
        </w:rPr>
      </w:pPr>
    </w:p>
    <w:p w14:paraId="44C9568F" w14:textId="77777777" w:rsidR="00D10794" w:rsidRPr="00784C34" w:rsidRDefault="00D10794" w:rsidP="00D10794">
      <w:pPr>
        <w:spacing w:after="0"/>
        <w:rPr>
          <w:rFonts w:cs="Arial"/>
        </w:rPr>
      </w:pPr>
      <w:r>
        <w:rPr>
          <w:rFonts w:cs="Arial"/>
        </w:rPr>
        <w:t xml:space="preserve">The service has received support from various Government grants such as sales fees and charges income loss scheme, infection control grant, workforce development </w:t>
      </w:r>
      <w:r>
        <w:rPr>
          <w:rFonts w:cs="Arial"/>
        </w:rPr>
        <w:lastRenderedPageBreak/>
        <w:t xml:space="preserve">grant and the rapid testing grant </w:t>
      </w:r>
      <w:r w:rsidRPr="00DF119E">
        <w:rPr>
          <w:rFonts w:cs="Arial"/>
        </w:rPr>
        <w:t>totalling c£2.8m, but</w:t>
      </w:r>
      <w:r>
        <w:rPr>
          <w:rFonts w:cs="Arial"/>
        </w:rPr>
        <w:t xml:space="preserve"> due to the significant pressures faced by the pandemic the final position is an overspend on this budget area.  </w:t>
      </w:r>
    </w:p>
    <w:p w14:paraId="7B0A83B0" w14:textId="77777777" w:rsidR="00D10794" w:rsidRPr="00B90474" w:rsidRDefault="00D10794" w:rsidP="00D10794">
      <w:pPr>
        <w:spacing w:after="0"/>
        <w:rPr>
          <w:rFonts w:cs="Arial"/>
          <w:i/>
          <w:color w:val="FF0000"/>
          <w:highlight w:val="green"/>
        </w:rPr>
      </w:pPr>
    </w:p>
    <w:p w14:paraId="69E025AF" w14:textId="337B40CC" w:rsidR="00D10794" w:rsidRPr="00C12E36" w:rsidRDefault="00D10794" w:rsidP="00D10794">
      <w:pPr>
        <w:spacing w:after="0"/>
        <w:rPr>
          <w:rFonts w:cs="Arial"/>
          <w:b/>
          <w:color w:val="FF0000"/>
        </w:rPr>
      </w:pPr>
      <w:r w:rsidRPr="00DF119E">
        <w:rPr>
          <w:rFonts w:cs="Arial"/>
          <w:b/>
        </w:rPr>
        <w:t>Social care services (adults) – overspend £725,000</w:t>
      </w:r>
    </w:p>
    <w:p w14:paraId="5712A29C" w14:textId="77777777" w:rsidR="00D10794" w:rsidRDefault="00D10794" w:rsidP="00D10794">
      <w:pPr>
        <w:spacing w:after="0"/>
        <w:rPr>
          <w:rFonts w:cs="Arial"/>
        </w:rPr>
      </w:pPr>
      <w:r>
        <w:rPr>
          <w:rFonts w:cs="Arial"/>
        </w:rPr>
        <w:t>Social care services (adults) covers the expenditure incurred in supporting older people and adults (aged 18-65) with physical disabilities.  There are three main areas of spending, Residential and Nursing Care Homes, Care at Home and Staffing.</w:t>
      </w:r>
    </w:p>
    <w:p w14:paraId="00F51411" w14:textId="77777777" w:rsidR="00D10794" w:rsidRDefault="00D10794" w:rsidP="00D10794">
      <w:pPr>
        <w:spacing w:after="0"/>
        <w:rPr>
          <w:rFonts w:cs="Arial"/>
        </w:rPr>
      </w:pPr>
    </w:p>
    <w:p w14:paraId="550F7809" w14:textId="77777777" w:rsidR="00D10794" w:rsidRPr="002B74B4" w:rsidRDefault="00D10794" w:rsidP="00D10794">
      <w:pPr>
        <w:spacing w:after="0"/>
        <w:rPr>
          <w:rFonts w:cs="Arial"/>
          <w:u w:val="single"/>
        </w:rPr>
      </w:pPr>
      <w:r w:rsidRPr="002B74B4">
        <w:rPr>
          <w:rFonts w:cs="Arial"/>
          <w:u w:val="single"/>
        </w:rPr>
        <w:t>Residential and Nursing Care Homes</w:t>
      </w:r>
    </w:p>
    <w:p w14:paraId="4D7CE363" w14:textId="77777777" w:rsidR="00D10794" w:rsidRDefault="00D10794" w:rsidP="00D10794">
      <w:pPr>
        <w:spacing w:after="0"/>
        <w:rPr>
          <w:rFonts w:cs="Arial"/>
        </w:rPr>
      </w:pPr>
    </w:p>
    <w:p w14:paraId="4B2C2468" w14:textId="5C553334" w:rsidR="00D10794" w:rsidRDefault="00D10794" w:rsidP="00D10794">
      <w:pPr>
        <w:spacing w:after="0"/>
        <w:rPr>
          <w:rFonts w:cs="Arial"/>
        </w:rPr>
      </w:pPr>
      <w:r>
        <w:rPr>
          <w:rFonts w:cs="Arial"/>
        </w:rPr>
        <w:t xml:space="preserve">As part of the savings programme for 2020/21 the intention was to establish effective arrangements making fewer admissions into care homes and supporting greater numbers to stay at home.  However, from the start of the pandemic implementation </w:t>
      </w:r>
      <w:r w:rsidR="00AB5C6B">
        <w:rPr>
          <w:rFonts w:cs="Arial"/>
        </w:rPr>
        <w:t>of the</w:t>
      </w:r>
      <w:r>
        <w:rPr>
          <w:rFonts w:cs="Arial"/>
        </w:rPr>
        <w:t xml:space="preserve"> plan was postponed in the face of other urgent priorities for supporting individuals and the care home sector to stay safe.</w:t>
      </w:r>
    </w:p>
    <w:p w14:paraId="777D82A5" w14:textId="77777777" w:rsidR="00D10794" w:rsidRDefault="00D10794" w:rsidP="00D10794">
      <w:pPr>
        <w:spacing w:after="0"/>
        <w:rPr>
          <w:rFonts w:cs="Arial"/>
        </w:rPr>
      </w:pPr>
    </w:p>
    <w:p w14:paraId="2509DE1E" w14:textId="77777777" w:rsidR="00D10794" w:rsidRDefault="00D10794" w:rsidP="00D10794">
      <w:pPr>
        <w:spacing w:after="0"/>
        <w:rPr>
          <w:rFonts w:cs="Arial"/>
        </w:rPr>
      </w:pPr>
      <w:r>
        <w:rPr>
          <w:rFonts w:cs="Arial"/>
        </w:rPr>
        <w:t>However, the care home sector has experienced higher mortality rates particularly of older people during the year, and there has been reduced demand from individuals for residential care.  This is typically because families have been concerned about the risk of infection to their relative and the further impact of visiting and other restrictions.  Many of those individuals who were placed in care homes during the year, as part of discharge from hospital, have had their initial stays  paid for by the NHS out of a national fund rather than the council in line with England wide arrangements.  In cases where those placements were made by the council, we have received reimbursement from the national discharge fund and this amounts to £4.488m.</w:t>
      </w:r>
    </w:p>
    <w:p w14:paraId="069AE737" w14:textId="77777777" w:rsidR="00D10794" w:rsidRDefault="00D10794" w:rsidP="00D10794">
      <w:pPr>
        <w:spacing w:after="0"/>
        <w:rPr>
          <w:rFonts w:cs="Arial"/>
        </w:rPr>
      </w:pPr>
    </w:p>
    <w:p w14:paraId="7FA4D2F0" w14:textId="77777777" w:rsidR="00D10794" w:rsidRDefault="00D10794" w:rsidP="00D10794">
      <w:pPr>
        <w:spacing w:after="0"/>
        <w:rPr>
          <w:rFonts w:cs="Arial"/>
        </w:rPr>
      </w:pPr>
      <w:r>
        <w:rPr>
          <w:rFonts w:cs="Arial"/>
        </w:rPr>
        <w:t xml:space="preserve">The overall impact of the delayed saving programme, the reduced demand for care home placements due to Covid-19, and the NHS funding arrangements is a net underspend in the year of £2.449m on residential and nursing home placements.   </w:t>
      </w:r>
    </w:p>
    <w:p w14:paraId="713D3699" w14:textId="77777777" w:rsidR="00D10794" w:rsidRDefault="00D10794" w:rsidP="00D10794">
      <w:pPr>
        <w:spacing w:after="0"/>
        <w:rPr>
          <w:rFonts w:cs="Arial"/>
        </w:rPr>
      </w:pPr>
    </w:p>
    <w:p w14:paraId="54647DB2" w14:textId="77777777" w:rsidR="00D10794" w:rsidRPr="00865F6C" w:rsidRDefault="00D10794" w:rsidP="00D10794">
      <w:pPr>
        <w:spacing w:after="0"/>
        <w:rPr>
          <w:rFonts w:eastAsia="Times New Roman" w:cs="Arial"/>
          <w:lang w:eastAsia="en-GB"/>
        </w:rPr>
      </w:pPr>
      <w:r w:rsidRPr="00865F6C">
        <w:rPr>
          <w:rFonts w:eastAsia="Times New Roman" w:cs="Arial"/>
          <w:lang w:eastAsia="en-GB"/>
        </w:rPr>
        <w:t xml:space="preserve">There is a significant risk going forward into 2021/22 that </w:t>
      </w:r>
      <w:r>
        <w:rPr>
          <w:rFonts w:eastAsia="Times New Roman" w:cs="Arial"/>
          <w:lang w:eastAsia="en-GB"/>
        </w:rPr>
        <w:t>a significant proportion of</w:t>
      </w:r>
      <w:r w:rsidRPr="00865F6C">
        <w:rPr>
          <w:rFonts w:eastAsia="Times New Roman" w:cs="Arial"/>
          <w:lang w:eastAsia="en-GB"/>
        </w:rPr>
        <w:t xml:space="preserve"> </w:t>
      </w:r>
      <w:r>
        <w:rPr>
          <w:rFonts w:eastAsia="Times New Roman" w:cs="Arial"/>
          <w:lang w:eastAsia="en-GB"/>
        </w:rPr>
        <w:t xml:space="preserve">placements </w:t>
      </w:r>
      <w:r w:rsidRPr="00865F6C">
        <w:rPr>
          <w:rFonts w:eastAsia="Times New Roman" w:cs="Arial"/>
          <w:lang w:eastAsia="en-GB"/>
        </w:rPr>
        <w:t xml:space="preserve"> </w:t>
      </w:r>
      <w:r>
        <w:rPr>
          <w:rFonts w:eastAsia="Times New Roman" w:cs="Arial"/>
          <w:lang w:eastAsia="en-GB"/>
        </w:rPr>
        <w:t xml:space="preserve">which </w:t>
      </w:r>
      <w:r w:rsidRPr="00865F6C">
        <w:rPr>
          <w:rFonts w:eastAsia="Times New Roman" w:cs="Arial"/>
          <w:lang w:eastAsia="en-GB"/>
        </w:rPr>
        <w:t xml:space="preserve">are currently transferring from the NHS to the council will need to be reassessed and </w:t>
      </w:r>
      <w:r>
        <w:rPr>
          <w:rFonts w:eastAsia="Times New Roman" w:cs="Arial"/>
          <w:lang w:eastAsia="en-GB"/>
        </w:rPr>
        <w:t>these could involve</w:t>
      </w:r>
      <w:r w:rsidRPr="00865F6C">
        <w:rPr>
          <w:rFonts w:eastAsia="Times New Roman" w:cs="Arial"/>
          <w:lang w:eastAsia="en-GB"/>
        </w:rPr>
        <w:t xml:space="preserve"> increase</w:t>
      </w:r>
      <w:r>
        <w:rPr>
          <w:rFonts w:eastAsia="Times New Roman" w:cs="Arial"/>
          <w:lang w:eastAsia="en-GB"/>
        </w:rPr>
        <w:t>d</w:t>
      </w:r>
      <w:r w:rsidRPr="00865F6C">
        <w:rPr>
          <w:rFonts w:eastAsia="Times New Roman" w:cs="Arial"/>
          <w:lang w:eastAsia="en-GB"/>
        </w:rPr>
        <w:t xml:space="preserve"> costs</w:t>
      </w:r>
      <w:r>
        <w:rPr>
          <w:rFonts w:eastAsia="Times New Roman" w:cs="Arial"/>
          <w:lang w:eastAsia="en-GB"/>
        </w:rPr>
        <w:t xml:space="preserve"> compared to our standard rates</w:t>
      </w:r>
      <w:r w:rsidRPr="00865F6C">
        <w:rPr>
          <w:rFonts w:eastAsia="Times New Roman" w:cs="Arial"/>
          <w:lang w:eastAsia="en-GB"/>
        </w:rPr>
        <w:t xml:space="preserve">, but at this stage we are unable to quantify the level of additional cost. </w:t>
      </w:r>
    </w:p>
    <w:p w14:paraId="2E370815" w14:textId="77777777" w:rsidR="00D10794" w:rsidRPr="00865F6C" w:rsidRDefault="00D10794" w:rsidP="00D10794">
      <w:pPr>
        <w:spacing w:after="0"/>
        <w:rPr>
          <w:rFonts w:eastAsia="Times New Roman" w:cs="Arial"/>
          <w:lang w:eastAsia="en-GB"/>
        </w:rPr>
      </w:pPr>
    </w:p>
    <w:p w14:paraId="103DCF1F" w14:textId="77777777" w:rsidR="00D10794" w:rsidRDefault="00D10794" w:rsidP="00D10794">
      <w:pPr>
        <w:spacing w:after="0"/>
        <w:rPr>
          <w:rFonts w:cs="Arial"/>
          <w:u w:val="single"/>
        </w:rPr>
      </w:pPr>
      <w:r w:rsidRPr="002B74B4">
        <w:rPr>
          <w:rFonts w:cs="Arial"/>
          <w:u w:val="single"/>
        </w:rPr>
        <w:t>Care</w:t>
      </w:r>
      <w:r>
        <w:rPr>
          <w:rFonts w:cs="Arial"/>
          <w:u w:val="single"/>
        </w:rPr>
        <w:t xml:space="preserve"> at Home</w:t>
      </w:r>
    </w:p>
    <w:p w14:paraId="2E3F824C" w14:textId="77777777" w:rsidR="00D10794" w:rsidRPr="002B74B4" w:rsidRDefault="00D10794" w:rsidP="00D10794">
      <w:pPr>
        <w:spacing w:after="0"/>
        <w:rPr>
          <w:rFonts w:cs="Arial"/>
          <w:u w:val="single"/>
        </w:rPr>
      </w:pPr>
    </w:p>
    <w:p w14:paraId="557673A0" w14:textId="1A7198D8" w:rsidR="00D10794" w:rsidRDefault="00D10794" w:rsidP="00D10794">
      <w:pPr>
        <w:spacing w:after="0"/>
        <w:rPr>
          <w:rFonts w:cs="Arial"/>
        </w:rPr>
      </w:pPr>
      <w:r>
        <w:rPr>
          <w:rFonts w:cs="Arial"/>
        </w:rPr>
        <w:t xml:space="preserve">This includes a variety of services including reablement, home care, and day services. </w:t>
      </w:r>
      <w:proofErr w:type="gramStart"/>
      <w:r>
        <w:rPr>
          <w:rFonts w:cs="Arial"/>
        </w:rPr>
        <w:t>The majority of</w:t>
      </w:r>
      <w:proofErr w:type="gramEnd"/>
      <w:r>
        <w:rPr>
          <w:rFonts w:cs="Arial"/>
        </w:rPr>
        <w:t xml:space="preserve"> these services are commissioned by our own staff but a significant number of people receive a direct payment so they can make their own care arrangements</w:t>
      </w:r>
      <w:r w:rsidR="00C12E36">
        <w:rPr>
          <w:rFonts w:cs="Arial"/>
        </w:rPr>
        <w:t>.</w:t>
      </w:r>
    </w:p>
    <w:p w14:paraId="3C3EAF0C" w14:textId="77777777" w:rsidR="00D10794" w:rsidRDefault="00D10794" w:rsidP="00D10794">
      <w:pPr>
        <w:spacing w:after="0"/>
        <w:rPr>
          <w:rFonts w:cs="Arial"/>
        </w:rPr>
      </w:pPr>
    </w:p>
    <w:p w14:paraId="4BCE24BE" w14:textId="77777777" w:rsidR="00D10794" w:rsidRDefault="00D10794" w:rsidP="00D10794">
      <w:pPr>
        <w:spacing w:after="0"/>
        <w:rPr>
          <w:rFonts w:cs="Arial"/>
        </w:rPr>
      </w:pPr>
      <w:r>
        <w:rPr>
          <w:rFonts w:cs="Arial"/>
        </w:rPr>
        <w:t xml:space="preserve">This area has an </w:t>
      </w:r>
      <w:r w:rsidRPr="00865F6C">
        <w:rPr>
          <w:rFonts w:cs="Arial"/>
        </w:rPr>
        <w:t>overspend of £2.04</w:t>
      </w:r>
      <w:r>
        <w:rPr>
          <w:rFonts w:cs="Arial"/>
        </w:rPr>
        <w:t>3</w:t>
      </w:r>
      <w:r w:rsidRPr="00865F6C">
        <w:rPr>
          <w:rFonts w:cs="Arial"/>
        </w:rPr>
        <w:t xml:space="preserve">m predominantly due to the under-delivery of savings </w:t>
      </w:r>
      <w:r>
        <w:rPr>
          <w:rFonts w:cs="Arial"/>
        </w:rPr>
        <w:t>on care provided to people in their own homes either through home care or via direct payment.  These savings were very challenging in any event, and the onset of the pandemic meant they quickly became unrealistic to deliver.  This was due to the greater priority on supporting people at home and the higher levels of support therefore commissioned, both in terms of numbers of people supported and also the intensity of the support needed by many individuals when it was required as an alternative to residential care. For some people this also involved a greater use of Direct Payments to have their needs met in different and sometimes more expensive ways.</w:t>
      </w:r>
    </w:p>
    <w:p w14:paraId="3E646E81" w14:textId="77777777" w:rsidR="00D10794" w:rsidRDefault="00D10794" w:rsidP="00D10794">
      <w:pPr>
        <w:spacing w:after="0"/>
        <w:rPr>
          <w:rFonts w:cs="Arial"/>
        </w:rPr>
      </w:pPr>
    </w:p>
    <w:p w14:paraId="2DF030C4" w14:textId="77777777" w:rsidR="00D10794" w:rsidRPr="00865F6C" w:rsidRDefault="00D10794" w:rsidP="00D10794">
      <w:pPr>
        <w:spacing w:after="0"/>
        <w:rPr>
          <w:rFonts w:cs="Arial"/>
        </w:rPr>
      </w:pPr>
      <w:r>
        <w:rPr>
          <w:rFonts w:cs="Arial"/>
        </w:rPr>
        <w:lastRenderedPageBreak/>
        <w:t xml:space="preserve">The national hospital discharge arrangements also meant that many individuals had short term services commissioned to keep them safe at home as part of a greater emphasis on 'Home First' and Discharge to Assess during the pandemic. </w:t>
      </w:r>
      <w:r w:rsidRPr="00865F6C">
        <w:rPr>
          <w:rFonts w:cs="Arial"/>
        </w:rPr>
        <w:t xml:space="preserve">The service has received funding from the NHS to support </w:t>
      </w:r>
      <w:r>
        <w:rPr>
          <w:rFonts w:cs="Arial"/>
        </w:rPr>
        <w:t xml:space="preserve">these </w:t>
      </w:r>
      <w:r w:rsidRPr="00865F6C">
        <w:rPr>
          <w:rFonts w:cs="Arial"/>
        </w:rPr>
        <w:t>hospital discharges totalling £8.051m and is included in the net overspend position reported above.</w:t>
      </w:r>
      <w:r>
        <w:rPr>
          <w:rFonts w:cs="Arial"/>
        </w:rPr>
        <w:t xml:space="preserve"> </w:t>
      </w:r>
    </w:p>
    <w:p w14:paraId="728BAA3D" w14:textId="77777777" w:rsidR="00D10794" w:rsidRPr="00865F6C" w:rsidRDefault="00D10794" w:rsidP="00D10794">
      <w:pPr>
        <w:spacing w:after="0"/>
        <w:rPr>
          <w:rFonts w:cs="Arial"/>
        </w:rPr>
      </w:pPr>
    </w:p>
    <w:p w14:paraId="730EDA99" w14:textId="77777777" w:rsidR="00D10794" w:rsidRDefault="00D10794" w:rsidP="00D10794">
      <w:pPr>
        <w:spacing w:after="0"/>
        <w:rPr>
          <w:rFonts w:cs="Arial"/>
        </w:rPr>
      </w:pPr>
      <w:r>
        <w:rPr>
          <w:rFonts w:cs="Arial"/>
        </w:rPr>
        <w:t xml:space="preserve">This is an area where significant income to meet the costs of social care at home comes from pooled budgets held with the NHS.  The size of the NHS contributions into these pooled budgets is most set at a national level but with a degree of local discretion and negotiation also occurring.  Additional funding has also been drawn down form the Covid-19 Emergency funding to provide extra capacity over the winter. </w:t>
      </w:r>
    </w:p>
    <w:p w14:paraId="1BE503EA" w14:textId="77777777" w:rsidR="00D10794" w:rsidRDefault="00D10794" w:rsidP="00D10794">
      <w:pPr>
        <w:spacing w:after="0"/>
        <w:rPr>
          <w:rFonts w:cs="Arial"/>
        </w:rPr>
      </w:pPr>
    </w:p>
    <w:p w14:paraId="3BD3E3E0" w14:textId="77777777" w:rsidR="00D10794" w:rsidRPr="00865F6C" w:rsidRDefault="00D10794" w:rsidP="00D10794">
      <w:pPr>
        <w:spacing w:after="0"/>
        <w:rPr>
          <w:rFonts w:cs="Arial"/>
        </w:rPr>
      </w:pPr>
      <w:r>
        <w:rPr>
          <w:rFonts w:cs="Arial"/>
        </w:rPr>
        <w:t>T</w:t>
      </w:r>
      <w:r w:rsidRPr="00865F6C">
        <w:rPr>
          <w:rFonts w:cs="Arial"/>
        </w:rPr>
        <w:t>here were further underspends in day services (£1.79</w:t>
      </w:r>
      <w:r>
        <w:rPr>
          <w:rFonts w:cs="Arial"/>
        </w:rPr>
        <w:t>0</w:t>
      </w:r>
      <w:r w:rsidRPr="00865F6C">
        <w:rPr>
          <w:rFonts w:cs="Arial"/>
        </w:rPr>
        <w:t xml:space="preserve">m) due to both in house and external day care centres </w:t>
      </w:r>
      <w:r>
        <w:rPr>
          <w:rFonts w:cs="Arial"/>
        </w:rPr>
        <w:t>being</w:t>
      </w:r>
      <w:r w:rsidRPr="00865F6C">
        <w:rPr>
          <w:rFonts w:cs="Arial"/>
        </w:rPr>
        <w:t xml:space="preserve"> largely closed due to Covid-19 and the lockdown measures, with some limited services opening in recent months. There were also smaller underspends totalling £4</w:t>
      </w:r>
      <w:r>
        <w:rPr>
          <w:rFonts w:cs="Arial"/>
        </w:rPr>
        <w:t>92</w:t>
      </w:r>
      <w:r w:rsidRPr="00865F6C">
        <w:rPr>
          <w:rFonts w:cs="Arial"/>
        </w:rPr>
        <w:t xml:space="preserve">,000 across other smaller service elements. </w:t>
      </w:r>
    </w:p>
    <w:p w14:paraId="4AD9E73C" w14:textId="77777777" w:rsidR="00D10794" w:rsidRPr="00865F6C" w:rsidRDefault="00D10794" w:rsidP="00D10794">
      <w:pPr>
        <w:spacing w:after="0"/>
        <w:rPr>
          <w:rFonts w:cs="Arial"/>
        </w:rPr>
      </w:pPr>
    </w:p>
    <w:p w14:paraId="2488C0FD" w14:textId="77777777" w:rsidR="00D10794" w:rsidRDefault="00D10794" w:rsidP="00D10794">
      <w:pPr>
        <w:spacing w:after="0"/>
        <w:rPr>
          <w:rFonts w:cs="Arial"/>
          <w:b/>
          <w:bCs/>
          <w:i/>
          <w:iCs/>
        </w:rPr>
      </w:pPr>
      <w:r w:rsidRPr="00865F6C">
        <w:rPr>
          <w:rFonts w:cs="Arial"/>
          <w:b/>
          <w:bCs/>
          <w:i/>
          <w:iCs/>
        </w:rPr>
        <w:t>Staffing</w:t>
      </w:r>
    </w:p>
    <w:p w14:paraId="2D607BBC" w14:textId="77777777" w:rsidR="00D10794" w:rsidRDefault="00D10794" w:rsidP="00D10794">
      <w:pPr>
        <w:spacing w:after="0"/>
        <w:rPr>
          <w:rFonts w:cs="Arial"/>
          <w:b/>
          <w:bCs/>
          <w:i/>
          <w:iCs/>
        </w:rPr>
      </w:pPr>
    </w:p>
    <w:p w14:paraId="69779C42" w14:textId="77777777" w:rsidR="00D10794" w:rsidRDefault="00D10794" w:rsidP="00D10794">
      <w:pPr>
        <w:spacing w:after="0"/>
        <w:rPr>
          <w:rFonts w:cs="Arial"/>
        </w:rPr>
      </w:pPr>
      <w:r w:rsidRPr="00865F6C">
        <w:rPr>
          <w:rFonts w:cs="Arial"/>
        </w:rPr>
        <w:t xml:space="preserve">The service has </w:t>
      </w:r>
      <w:r>
        <w:rPr>
          <w:rFonts w:cs="Arial"/>
        </w:rPr>
        <w:t xml:space="preserve">recruited agency staff to </w:t>
      </w:r>
      <w:proofErr w:type="gramStart"/>
      <w:r>
        <w:rPr>
          <w:rFonts w:cs="Arial"/>
        </w:rPr>
        <w:t>a number of</w:t>
      </w:r>
      <w:proofErr w:type="gramEnd"/>
      <w:r>
        <w:rPr>
          <w:rFonts w:cs="Arial"/>
        </w:rPr>
        <w:t xml:space="preserve"> additional temporary management and frontline social work and occupational therapy posts during the year.  These posts have been needed to cover vacancies, longer term absence or address spikes in demand, particularly in the periods after lockdowns have ended.  Pay-rates for agency staff also had to be increased during the year </w:t>
      </w:r>
      <w:proofErr w:type="gramStart"/>
      <w:r>
        <w:rPr>
          <w:rFonts w:cs="Arial"/>
        </w:rPr>
        <w:t>in order to</w:t>
      </w:r>
      <w:proofErr w:type="gramEnd"/>
      <w:r>
        <w:rPr>
          <w:rFonts w:cs="Arial"/>
        </w:rPr>
        <w:t xml:space="preserve"> become more competitive in the labour market in the face of much higher rates on offer from neighbouring NW councils.  </w:t>
      </w:r>
    </w:p>
    <w:p w14:paraId="2CB27C53" w14:textId="77777777" w:rsidR="00D10794" w:rsidRDefault="00D10794" w:rsidP="00D10794">
      <w:pPr>
        <w:spacing w:after="0"/>
        <w:rPr>
          <w:rFonts w:cs="Arial"/>
        </w:rPr>
      </w:pPr>
    </w:p>
    <w:p w14:paraId="565848A7" w14:textId="77777777" w:rsidR="00D10794" w:rsidRDefault="00D10794" w:rsidP="00D10794">
      <w:pPr>
        <w:spacing w:after="0"/>
        <w:rPr>
          <w:rFonts w:cs="Arial"/>
        </w:rPr>
      </w:pPr>
      <w:r>
        <w:rPr>
          <w:rFonts w:cs="Arial"/>
        </w:rPr>
        <w:t>In combination this resulted</w:t>
      </w:r>
      <w:r w:rsidRPr="00865F6C">
        <w:rPr>
          <w:rFonts w:cs="Arial"/>
        </w:rPr>
        <w:t xml:space="preserve"> in an overspend of £290,000</w:t>
      </w:r>
      <w:r>
        <w:rPr>
          <w:rFonts w:cs="Arial"/>
        </w:rPr>
        <w:t xml:space="preserve"> against a g</w:t>
      </w:r>
      <w:r w:rsidRPr="00865F6C">
        <w:rPr>
          <w:rFonts w:cs="Arial"/>
        </w:rPr>
        <w:t>ross spend o</w:t>
      </w:r>
      <w:r>
        <w:rPr>
          <w:rFonts w:cs="Arial"/>
        </w:rPr>
        <w:t>f</w:t>
      </w:r>
      <w:r w:rsidRPr="00865F6C">
        <w:rPr>
          <w:rFonts w:cs="Arial"/>
        </w:rPr>
        <w:t xml:space="preserve"> £23.967m</w:t>
      </w:r>
      <w:r>
        <w:rPr>
          <w:rFonts w:cs="Arial"/>
        </w:rPr>
        <w:t>.</w:t>
      </w:r>
    </w:p>
    <w:p w14:paraId="13E819F8" w14:textId="77777777" w:rsidR="00D10794" w:rsidRDefault="00D10794" w:rsidP="00D10794">
      <w:pPr>
        <w:spacing w:after="0"/>
        <w:rPr>
          <w:rFonts w:cs="Arial"/>
          <w:b/>
          <w:bCs/>
          <w:i/>
          <w:iCs/>
        </w:rPr>
      </w:pPr>
    </w:p>
    <w:p w14:paraId="4A38F6C4" w14:textId="77777777" w:rsidR="00D10794" w:rsidRDefault="00D10794" w:rsidP="00D10794">
      <w:pPr>
        <w:spacing w:after="0"/>
        <w:rPr>
          <w:rFonts w:cs="Arial"/>
          <w:b/>
          <w:bCs/>
          <w:i/>
          <w:color w:val="auto"/>
        </w:rPr>
      </w:pPr>
      <w:r w:rsidRPr="00865F6C">
        <w:rPr>
          <w:rFonts w:cs="Arial"/>
          <w:b/>
          <w:bCs/>
          <w:i/>
          <w:color w:val="auto"/>
        </w:rPr>
        <w:t>Central Services</w:t>
      </w:r>
      <w:r>
        <w:rPr>
          <w:rFonts w:cs="Arial"/>
          <w:b/>
          <w:bCs/>
          <w:i/>
          <w:color w:val="auto"/>
        </w:rPr>
        <w:t xml:space="preserve"> </w:t>
      </w:r>
    </w:p>
    <w:p w14:paraId="065F9579" w14:textId="77777777" w:rsidR="00D10794" w:rsidRDefault="00D10794" w:rsidP="00D10794">
      <w:pPr>
        <w:spacing w:after="0"/>
        <w:rPr>
          <w:rFonts w:cs="Arial"/>
          <w:b/>
          <w:bCs/>
          <w:i/>
          <w:color w:val="auto"/>
        </w:rPr>
      </w:pPr>
    </w:p>
    <w:p w14:paraId="1BF5F563" w14:textId="77777777" w:rsidR="00D10794" w:rsidRPr="002200A1" w:rsidRDefault="00D10794" w:rsidP="00D10794">
      <w:pPr>
        <w:spacing w:after="0"/>
        <w:rPr>
          <w:rFonts w:cs="Arial"/>
          <w:iCs/>
          <w:color w:val="auto"/>
        </w:rPr>
      </w:pPr>
      <w:r>
        <w:rPr>
          <w:rFonts w:cs="Arial"/>
          <w:iCs/>
          <w:color w:val="auto"/>
        </w:rPr>
        <w:t xml:space="preserve">This section of the budget contains budgets that support the directorate, such as grant income, insurance recharges and a small amount of support contracts.  </w:t>
      </w:r>
    </w:p>
    <w:p w14:paraId="45D393CE" w14:textId="77777777" w:rsidR="00D10794" w:rsidRDefault="00D10794" w:rsidP="00D10794">
      <w:pPr>
        <w:spacing w:after="0"/>
        <w:rPr>
          <w:rFonts w:cs="Arial"/>
          <w:b/>
          <w:bCs/>
          <w:i/>
          <w:color w:val="auto"/>
        </w:rPr>
      </w:pPr>
    </w:p>
    <w:p w14:paraId="60DA328E" w14:textId="77777777" w:rsidR="00D10794" w:rsidRPr="00865F6C" w:rsidRDefault="00D10794" w:rsidP="00D10794">
      <w:pPr>
        <w:spacing w:after="0"/>
        <w:rPr>
          <w:rFonts w:cs="Arial"/>
          <w:iCs/>
          <w:color w:val="auto"/>
        </w:rPr>
      </w:pPr>
      <w:r w:rsidRPr="002200A1">
        <w:rPr>
          <w:rFonts w:cs="Arial"/>
          <w:iCs/>
          <w:color w:val="auto"/>
        </w:rPr>
        <w:t>These budgets have overspent by £3.086m</w:t>
      </w:r>
      <w:r w:rsidRPr="00865F6C">
        <w:rPr>
          <w:rFonts w:cs="Arial"/>
          <w:iCs/>
          <w:color w:val="auto"/>
        </w:rPr>
        <w:t xml:space="preserve"> in 2020/21. This mainly relates to contributions to reserves that have been made to support the service in transformational activity in 2021/22 </w:t>
      </w:r>
      <w:proofErr w:type="gramStart"/>
      <w:r w:rsidRPr="00865F6C">
        <w:rPr>
          <w:rFonts w:cs="Arial"/>
          <w:iCs/>
          <w:color w:val="auto"/>
        </w:rPr>
        <w:t>and also</w:t>
      </w:r>
      <w:proofErr w:type="gramEnd"/>
      <w:r w:rsidRPr="00865F6C">
        <w:rPr>
          <w:rFonts w:cs="Arial"/>
          <w:iCs/>
          <w:color w:val="auto"/>
        </w:rPr>
        <w:t xml:space="preserve"> set aside funds to support the service with additional costs that could be experienced relating to the pandemic. </w:t>
      </w:r>
    </w:p>
    <w:bookmarkEnd w:id="2"/>
    <w:p w14:paraId="2DD260EE" w14:textId="77777777" w:rsidR="00D10794" w:rsidRPr="00865F6C" w:rsidRDefault="00D10794" w:rsidP="00D10794">
      <w:pPr>
        <w:spacing w:after="0"/>
        <w:rPr>
          <w:rFonts w:cs="Arial"/>
          <w:i/>
          <w:color w:val="FF0000"/>
        </w:rPr>
      </w:pPr>
    </w:p>
    <w:p w14:paraId="7ADD6126" w14:textId="77777777" w:rsidR="00D10794" w:rsidRPr="00865F6C" w:rsidRDefault="00D10794" w:rsidP="00D10794">
      <w:pPr>
        <w:spacing w:after="0"/>
        <w:rPr>
          <w:rFonts w:cs="Arial"/>
        </w:rPr>
      </w:pPr>
    </w:p>
    <w:p w14:paraId="19E4F514" w14:textId="77777777" w:rsidR="00D10794" w:rsidRPr="00865F6C" w:rsidRDefault="00D10794" w:rsidP="00D10794">
      <w:pPr>
        <w:spacing w:after="0"/>
        <w:rPr>
          <w:rFonts w:cs="Arial"/>
        </w:rPr>
      </w:pPr>
    </w:p>
    <w:p w14:paraId="7F9AC6EB" w14:textId="77777777" w:rsidR="00D10794" w:rsidRPr="00865F6C" w:rsidRDefault="00D10794" w:rsidP="00D10794">
      <w:pPr>
        <w:spacing w:after="0"/>
        <w:rPr>
          <w:rFonts w:cs="Arial"/>
        </w:rPr>
      </w:pPr>
    </w:p>
    <w:p w14:paraId="6FCE3096" w14:textId="77777777" w:rsidR="00D10794" w:rsidRPr="00865F6C" w:rsidRDefault="00D10794" w:rsidP="00D10794">
      <w:pPr>
        <w:spacing w:after="0"/>
        <w:rPr>
          <w:rFonts w:cs="Arial"/>
        </w:rPr>
      </w:pPr>
    </w:p>
    <w:p w14:paraId="542AD736" w14:textId="77777777" w:rsidR="00D10794" w:rsidRPr="00865F6C" w:rsidRDefault="00D10794" w:rsidP="00D10794">
      <w:pPr>
        <w:spacing w:after="0"/>
        <w:rPr>
          <w:rFonts w:cs="Arial"/>
        </w:rPr>
      </w:pPr>
    </w:p>
    <w:p w14:paraId="0A8F220A" w14:textId="77777777" w:rsidR="00D10794" w:rsidRPr="00865F6C" w:rsidRDefault="00D10794" w:rsidP="00D10794">
      <w:pPr>
        <w:spacing w:after="0"/>
        <w:rPr>
          <w:rFonts w:cs="Arial"/>
        </w:rPr>
      </w:pPr>
    </w:p>
    <w:p w14:paraId="301990EE" w14:textId="77777777" w:rsidR="00D10794" w:rsidRDefault="00D10794" w:rsidP="00D10794">
      <w:pPr>
        <w:spacing w:after="0"/>
        <w:rPr>
          <w:rFonts w:cs="Arial"/>
          <w:highlight w:val="yellow"/>
        </w:rPr>
      </w:pPr>
    </w:p>
    <w:p w14:paraId="5FD9D63F" w14:textId="77777777" w:rsidR="00D10794" w:rsidRDefault="00D10794" w:rsidP="00D10794">
      <w:pPr>
        <w:spacing w:after="0"/>
        <w:rPr>
          <w:rFonts w:cs="Arial"/>
          <w:highlight w:val="yellow"/>
        </w:rPr>
      </w:pPr>
    </w:p>
    <w:p w14:paraId="42FD1C48" w14:textId="77777777" w:rsidR="00D10794" w:rsidRDefault="00D10794" w:rsidP="00D10794">
      <w:pPr>
        <w:spacing w:after="0"/>
        <w:rPr>
          <w:rFonts w:cs="Arial"/>
          <w:highlight w:val="yellow"/>
        </w:rPr>
      </w:pPr>
    </w:p>
    <w:p w14:paraId="0332D77E" w14:textId="13015BEE" w:rsidR="00D10794" w:rsidRDefault="00D10794" w:rsidP="00D10794">
      <w:pPr>
        <w:spacing w:after="0"/>
        <w:rPr>
          <w:rFonts w:cs="Arial"/>
          <w:highlight w:val="yellow"/>
        </w:rPr>
      </w:pPr>
    </w:p>
    <w:p w14:paraId="36307B8C" w14:textId="7D008BA3" w:rsidR="00C12E36" w:rsidRDefault="00C12E36" w:rsidP="00D10794">
      <w:pPr>
        <w:spacing w:after="0"/>
        <w:rPr>
          <w:rFonts w:cs="Arial"/>
          <w:highlight w:val="yellow"/>
        </w:rPr>
      </w:pPr>
    </w:p>
    <w:p w14:paraId="18F9EDFE" w14:textId="472BF3D4" w:rsidR="00C12E36" w:rsidRDefault="00C12E36" w:rsidP="00D10794">
      <w:pPr>
        <w:spacing w:after="0"/>
        <w:rPr>
          <w:rFonts w:cs="Arial"/>
          <w:highlight w:val="yellow"/>
        </w:rPr>
      </w:pPr>
    </w:p>
    <w:p w14:paraId="7C35DB96" w14:textId="77777777" w:rsidR="00C12E36" w:rsidRPr="00C529BF" w:rsidRDefault="00C12E36" w:rsidP="00D10794">
      <w:pPr>
        <w:spacing w:after="0"/>
        <w:rPr>
          <w:rFonts w:cs="Arial"/>
          <w:highlight w:val="yellow"/>
        </w:rPr>
      </w:pPr>
    </w:p>
    <w:p w14:paraId="5081AE60" w14:textId="77777777" w:rsidR="00D10794" w:rsidRPr="009F5760" w:rsidRDefault="00D10794" w:rsidP="00D10794">
      <w:pPr>
        <w:spacing w:after="0"/>
        <w:rPr>
          <w:rFonts w:eastAsia="Times New Roman" w:cs="Arial"/>
          <w:b/>
          <w:lang w:eastAsia="en-GB"/>
        </w:rPr>
      </w:pPr>
      <w:r w:rsidRPr="009F5760">
        <w:rPr>
          <w:rFonts w:eastAsia="Times New Roman" w:cs="Arial"/>
          <w:b/>
          <w:lang w:eastAsia="en-GB"/>
        </w:rPr>
        <w:lastRenderedPageBreak/>
        <w:t>3.2</w:t>
      </w:r>
      <w:r w:rsidRPr="009F5760">
        <w:rPr>
          <w:rFonts w:eastAsia="Times New Roman" w:cs="Arial"/>
          <w:b/>
          <w:lang w:eastAsia="en-GB"/>
        </w:rPr>
        <w:tab/>
      </w:r>
      <w:r w:rsidRPr="009F5760">
        <w:rPr>
          <w:rFonts w:cs="Arial"/>
          <w:b/>
        </w:rPr>
        <w:t>Public Health and Wellbeing</w:t>
      </w:r>
    </w:p>
    <w:p w14:paraId="1A0B7C29" w14:textId="77777777" w:rsidR="00D10794" w:rsidRPr="00C529BF" w:rsidRDefault="00D10794" w:rsidP="00D10794">
      <w:pPr>
        <w:spacing w:after="0"/>
        <w:rPr>
          <w:rFonts w:cs="Arial"/>
          <w:highlight w:val="yellow"/>
        </w:rPr>
      </w:pPr>
    </w:p>
    <w:tbl>
      <w:tblPr>
        <w:tblW w:w="9096" w:type="dxa"/>
        <w:tblLook w:val="04A0" w:firstRow="1" w:lastRow="0" w:firstColumn="1" w:lastColumn="0" w:noHBand="0" w:noVBand="1"/>
      </w:tblPr>
      <w:tblGrid>
        <w:gridCol w:w="3676"/>
        <w:gridCol w:w="1150"/>
        <w:gridCol w:w="1079"/>
        <w:gridCol w:w="1091"/>
        <w:gridCol w:w="1050"/>
        <w:gridCol w:w="1050"/>
      </w:tblGrid>
      <w:tr w:rsidR="002F12B1" w14:paraId="3B609B26" w14:textId="77777777" w:rsidTr="00D10794">
        <w:trPr>
          <w:trHeight w:val="744"/>
        </w:trPr>
        <w:tc>
          <w:tcPr>
            <w:tcW w:w="3967" w:type="dxa"/>
            <w:tcBorders>
              <w:top w:val="single" w:sz="4" w:space="0" w:color="auto"/>
              <w:left w:val="single" w:sz="4" w:space="0" w:color="auto"/>
              <w:bottom w:val="nil"/>
              <w:right w:val="single" w:sz="4" w:space="0" w:color="auto"/>
            </w:tcBorders>
            <w:shd w:val="clear" w:color="000000" w:fill="D9D9D9"/>
            <w:vAlign w:val="center"/>
            <w:hideMark/>
          </w:tcPr>
          <w:p w14:paraId="45A6EEDC" w14:textId="77777777" w:rsidR="00D10794" w:rsidRPr="009F5760" w:rsidRDefault="00D10794" w:rsidP="00D10794">
            <w:pPr>
              <w:autoSpaceDE/>
              <w:autoSpaceDN/>
              <w:adjustRightInd/>
              <w:spacing w:after="0"/>
              <w:jc w:val="center"/>
              <w:rPr>
                <w:rFonts w:eastAsia="Times New Roman" w:cs="Arial"/>
                <w:b/>
                <w:bCs/>
                <w:sz w:val="20"/>
                <w:szCs w:val="20"/>
                <w:lang w:eastAsia="en-GB"/>
              </w:rPr>
            </w:pP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30265014"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Approved Net Budget </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48DAE728"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Net Outturn </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10E2C5D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66CCC0E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5811BBDB"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Q3 Forecast Variance</w:t>
            </w:r>
          </w:p>
        </w:tc>
      </w:tr>
      <w:tr w:rsidR="002F12B1" w14:paraId="001F1315"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042CCB70"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w:t>
            </w:r>
          </w:p>
        </w:tc>
        <w:tc>
          <w:tcPr>
            <w:tcW w:w="1096" w:type="dxa"/>
            <w:tcBorders>
              <w:top w:val="nil"/>
              <w:left w:val="nil"/>
              <w:bottom w:val="single" w:sz="4" w:space="0" w:color="auto"/>
              <w:right w:val="single" w:sz="4" w:space="0" w:color="auto"/>
            </w:tcBorders>
            <w:shd w:val="clear" w:color="000000" w:fill="D9D9D9"/>
            <w:vAlign w:val="center"/>
            <w:hideMark/>
          </w:tcPr>
          <w:p w14:paraId="458537DE"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96" w:type="dxa"/>
            <w:tcBorders>
              <w:top w:val="nil"/>
              <w:left w:val="nil"/>
              <w:bottom w:val="single" w:sz="4" w:space="0" w:color="auto"/>
              <w:right w:val="single" w:sz="4" w:space="0" w:color="auto"/>
            </w:tcBorders>
            <w:shd w:val="clear" w:color="000000" w:fill="D9D9D9"/>
            <w:vAlign w:val="center"/>
            <w:hideMark/>
          </w:tcPr>
          <w:p w14:paraId="22BD119F"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96" w:type="dxa"/>
            <w:tcBorders>
              <w:top w:val="nil"/>
              <w:left w:val="nil"/>
              <w:bottom w:val="single" w:sz="4" w:space="0" w:color="auto"/>
              <w:right w:val="single" w:sz="4" w:space="0" w:color="auto"/>
            </w:tcBorders>
            <w:shd w:val="clear" w:color="000000" w:fill="D9D9D9"/>
            <w:vAlign w:val="center"/>
            <w:hideMark/>
          </w:tcPr>
          <w:p w14:paraId="4A59CFA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961" w:type="dxa"/>
            <w:tcBorders>
              <w:top w:val="nil"/>
              <w:left w:val="nil"/>
              <w:bottom w:val="single" w:sz="4" w:space="0" w:color="auto"/>
              <w:right w:val="single" w:sz="4" w:space="0" w:color="auto"/>
            </w:tcBorders>
            <w:shd w:val="clear" w:color="000000" w:fill="D9D9D9"/>
            <w:vAlign w:val="center"/>
            <w:hideMark/>
          </w:tcPr>
          <w:p w14:paraId="72806A7F"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w:t>
            </w:r>
          </w:p>
        </w:tc>
        <w:tc>
          <w:tcPr>
            <w:tcW w:w="880" w:type="dxa"/>
            <w:tcBorders>
              <w:top w:val="nil"/>
              <w:left w:val="nil"/>
              <w:bottom w:val="single" w:sz="4" w:space="0" w:color="auto"/>
              <w:right w:val="single" w:sz="4" w:space="0" w:color="auto"/>
            </w:tcBorders>
            <w:shd w:val="clear" w:color="000000" w:fill="D9D9D9"/>
            <w:vAlign w:val="center"/>
            <w:hideMark/>
          </w:tcPr>
          <w:p w14:paraId="43827DC0"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r>
      <w:tr w:rsidR="002F12B1" w14:paraId="207DAE1F"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432BC86C"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Public Health &amp; Wellbeing</w:t>
            </w:r>
          </w:p>
        </w:tc>
        <w:tc>
          <w:tcPr>
            <w:tcW w:w="1096" w:type="dxa"/>
            <w:tcBorders>
              <w:top w:val="nil"/>
              <w:left w:val="nil"/>
              <w:bottom w:val="single" w:sz="4" w:space="0" w:color="auto"/>
              <w:right w:val="single" w:sz="4" w:space="0" w:color="auto"/>
            </w:tcBorders>
            <w:shd w:val="clear" w:color="auto" w:fill="auto"/>
            <w:vAlign w:val="center"/>
            <w:hideMark/>
          </w:tcPr>
          <w:p w14:paraId="01B4AF2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-66.883</w:t>
            </w:r>
          </w:p>
        </w:tc>
        <w:tc>
          <w:tcPr>
            <w:tcW w:w="1096" w:type="dxa"/>
            <w:tcBorders>
              <w:top w:val="nil"/>
              <w:left w:val="nil"/>
              <w:bottom w:val="single" w:sz="4" w:space="0" w:color="auto"/>
              <w:right w:val="single" w:sz="4" w:space="0" w:color="auto"/>
            </w:tcBorders>
            <w:shd w:val="clear" w:color="auto" w:fill="auto"/>
            <w:vAlign w:val="center"/>
            <w:hideMark/>
          </w:tcPr>
          <w:p w14:paraId="0BAF495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-66.646</w:t>
            </w:r>
          </w:p>
        </w:tc>
        <w:tc>
          <w:tcPr>
            <w:tcW w:w="1096" w:type="dxa"/>
            <w:tcBorders>
              <w:top w:val="nil"/>
              <w:left w:val="nil"/>
              <w:bottom w:val="single" w:sz="4" w:space="0" w:color="auto"/>
              <w:right w:val="single" w:sz="4" w:space="0" w:color="auto"/>
            </w:tcBorders>
            <w:shd w:val="clear" w:color="000000" w:fill="D9D9D9"/>
            <w:vAlign w:val="center"/>
            <w:hideMark/>
          </w:tcPr>
          <w:p w14:paraId="5E9CC1C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0.237</w:t>
            </w:r>
          </w:p>
        </w:tc>
        <w:tc>
          <w:tcPr>
            <w:tcW w:w="961" w:type="dxa"/>
            <w:tcBorders>
              <w:top w:val="nil"/>
              <w:left w:val="nil"/>
              <w:bottom w:val="single" w:sz="4" w:space="0" w:color="auto"/>
              <w:right w:val="single" w:sz="4" w:space="0" w:color="auto"/>
            </w:tcBorders>
            <w:shd w:val="clear" w:color="auto" w:fill="auto"/>
            <w:vAlign w:val="center"/>
            <w:hideMark/>
          </w:tcPr>
          <w:p w14:paraId="3EC3E5B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0.35%</w:t>
            </w:r>
          </w:p>
        </w:tc>
        <w:tc>
          <w:tcPr>
            <w:tcW w:w="880" w:type="dxa"/>
            <w:tcBorders>
              <w:top w:val="nil"/>
              <w:left w:val="nil"/>
              <w:bottom w:val="single" w:sz="4" w:space="0" w:color="auto"/>
              <w:right w:val="single" w:sz="4" w:space="0" w:color="auto"/>
            </w:tcBorders>
            <w:shd w:val="clear" w:color="000000" w:fill="D9D9D9"/>
            <w:vAlign w:val="center"/>
            <w:hideMark/>
          </w:tcPr>
          <w:p w14:paraId="7C4FE7D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0.195</w:t>
            </w:r>
          </w:p>
        </w:tc>
      </w:tr>
      <w:tr w:rsidR="002F12B1" w14:paraId="26FEC04F"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108DA9B7"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Health Equity Welfare &amp; Partnerships</w:t>
            </w:r>
          </w:p>
        </w:tc>
        <w:tc>
          <w:tcPr>
            <w:tcW w:w="1096" w:type="dxa"/>
            <w:tcBorders>
              <w:top w:val="nil"/>
              <w:left w:val="nil"/>
              <w:bottom w:val="single" w:sz="4" w:space="0" w:color="auto"/>
              <w:right w:val="single" w:sz="4" w:space="0" w:color="auto"/>
            </w:tcBorders>
            <w:shd w:val="clear" w:color="auto" w:fill="auto"/>
            <w:vAlign w:val="center"/>
            <w:hideMark/>
          </w:tcPr>
          <w:p w14:paraId="25B48BC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57.355</w:t>
            </w:r>
          </w:p>
        </w:tc>
        <w:tc>
          <w:tcPr>
            <w:tcW w:w="1096" w:type="dxa"/>
            <w:tcBorders>
              <w:top w:val="nil"/>
              <w:left w:val="nil"/>
              <w:bottom w:val="single" w:sz="4" w:space="0" w:color="auto"/>
              <w:right w:val="single" w:sz="4" w:space="0" w:color="auto"/>
            </w:tcBorders>
            <w:shd w:val="clear" w:color="auto" w:fill="auto"/>
            <w:vAlign w:val="center"/>
            <w:hideMark/>
          </w:tcPr>
          <w:p w14:paraId="1A6310E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57.941</w:t>
            </w:r>
          </w:p>
        </w:tc>
        <w:tc>
          <w:tcPr>
            <w:tcW w:w="1096" w:type="dxa"/>
            <w:tcBorders>
              <w:top w:val="nil"/>
              <w:left w:val="nil"/>
              <w:bottom w:val="single" w:sz="4" w:space="0" w:color="auto"/>
              <w:right w:val="single" w:sz="4" w:space="0" w:color="auto"/>
            </w:tcBorders>
            <w:shd w:val="clear" w:color="000000" w:fill="D9D9D9"/>
            <w:vAlign w:val="center"/>
            <w:hideMark/>
          </w:tcPr>
          <w:p w14:paraId="658C764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0.586</w:t>
            </w:r>
          </w:p>
        </w:tc>
        <w:tc>
          <w:tcPr>
            <w:tcW w:w="961" w:type="dxa"/>
            <w:tcBorders>
              <w:top w:val="nil"/>
              <w:left w:val="nil"/>
              <w:bottom w:val="single" w:sz="4" w:space="0" w:color="auto"/>
              <w:right w:val="single" w:sz="4" w:space="0" w:color="auto"/>
            </w:tcBorders>
            <w:shd w:val="clear" w:color="auto" w:fill="auto"/>
            <w:vAlign w:val="center"/>
            <w:hideMark/>
          </w:tcPr>
          <w:p w14:paraId="58A2BED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1.02%</w:t>
            </w:r>
          </w:p>
        </w:tc>
        <w:tc>
          <w:tcPr>
            <w:tcW w:w="880" w:type="dxa"/>
            <w:tcBorders>
              <w:top w:val="nil"/>
              <w:left w:val="nil"/>
              <w:bottom w:val="single" w:sz="4" w:space="0" w:color="auto"/>
              <w:right w:val="single" w:sz="4" w:space="0" w:color="auto"/>
            </w:tcBorders>
            <w:shd w:val="clear" w:color="000000" w:fill="D9D9D9"/>
            <w:vAlign w:val="center"/>
            <w:hideMark/>
          </w:tcPr>
          <w:p w14:paraId="767FFC4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0.529</w:t>
            </w:r>
          </w:p>
        </w:tc>
      </w:tr>
      <w:tr w:rsidR="002F12B1" w14:paraId="63AA5C28"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1624624E"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Health, Safety &amp; Resilience</w:t>
            </w:r>
          </w:p>
        </w:tc>
        <w:tc>
          <w:tcPr>
            <w:tcW w:w="1096" w:type="dxa"/>
            <w:tcBorders>
              <w:top w:val="nil"/>
              <w:left w:val="nil"/>
              <w:bottom w:val="single" w:sz="4" w:space="0" w:color="auto"/>
              <w:right w:val="single" w:sz="4" w:space="0" w:color="auto"/>
            </w:tcBorders>
            <w:shd w:val="clear" w:color="auto" w:fill="auto"/>
            <w:vAlign w:val="center"/>
            <w:hideMark/>
          </w:tcPr>
          <w:p w14:paraId="0CDC086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0.917</w:t>
            </w:r>
          </w:p>
        </w:tc>
        <w:tc>
          <w:tcPr>
            <w:tcW w:w="1096" w:type="dxa"/>
            <w:tcBorders>
              <w:top w:val="nil"/>
              <w:left w:val="nil"/>
              <w:bottom w:val="single" w:sz="4" w:space="0" w:color="auto"/>
              <w:right w:val="single" w:sz="4" w:space="0" w:color="auto"/>
            </w:tcBorders>
            <w:shd w:val="clear" w:color="auto" w:fill="auto"/>
            <w:vAlign w:val="center"/>
            <w:hideMark/>
          </w:tcPr>
          <w:p w14:paraId="703A33F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0.754</w:t>
            </w:r>
          </w:p>
        </w:tc>
        <w:tc>
          <w:tcPr>
            <w:tcW w:w="1096" w:type="dxa"/>
            <w:tcBorders>
              <w:top w:val="nil"/>
              <w:left w:val="nil"/>
              <w:bottom w:val="single" w:sz="4" w:space="0" w:color="auto"/>
              <w:right w:val="single" w:sz="4" w:space="0" w:color="auto"/>
            </w:tcBorders>
            <w:shd w:val="clear" w:color="000000" w:fill="D9D9D9"/>
            <w:vAlign w:val="center"/>
            <w:hideMark/>
          </w:tcPr>
          <w:p w14:paraId="03E9B7C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-0.163</w:t>
            </w:r>
          </w:p>
        </w:tc>
        <w:tc>
          <w:tcPr>
            <w:tcW w:w="961" w:type="dxa"/>
            <w:tcBorders>
              <w:top w:val="nil"/>
              <w:left w:val="nil"/>
              <w:bottom w:val="single" w:sz="4" w:space="0" w:color="auto"/>
              <w:right w:val="single" w:sz="4" w:space="0" w:color="auto"/>
            </w:tcBorders>
            <w:shd w:val="clear" w:color="auto" w:fill="auto"/>
            <w:vAlign w:val="center"/>
            <w:hideMark/>
          </w:tcPr>
          <w:p w14:paraId="383BDD6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-17.78%</w:t>
            </w:r>
          </w:p>
        </w:tc>
        <w:tc>
          <w:tcPr>
            <w:tcW w:w="880" w:type="dxa"/>
            <w:tcBorders>
              <w:top w:val="nil"/>
              <w:left w:val="nil"/>
              <w:bottom w:val="single" w:sz="4" w:space="0" w:color="auto"/>
              <w:right w:val="single" w:sz="4" w:space="0" w:color="auto"/>
            </w:tcBorders>
            <w:shd w:val="clear" w:color="000000" w:fill="D9D9D9"/>
            <w:vAlign w:val="center"/>
            <w:hideMark/>
          </w:tcPr>
          <w:p w14:paraId="6BA9944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-0.176</w:t>
            </w:r>
          </w:p>
        </w:tc>
      </w:tr>
      <w:tr w:rsidR="002F12B1" w14:paraId="77774068"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199E47D2"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Trading Standards &amp; Scientific Services</w:t>
            </w:r>
          </w:p>
        </w:tc>
        <w:tc>
          <w:tcPr>
            <w:tcW w:w="1096" w:type="dxa"/>
            <w:tcBorders>
              <w:top w:val="nil"/>
              <w:left w:val="nil"/>
              <w:bottom w:val="single" w:sz="4" w:space="0" w:color="auto"/>
              <w:right w:val="single" w:sz="4" w:space="0" w:color="auto"/>
            </w:tcBorders>
            <w:shd w:val="clear" w:color="auto" w:fill="auto"/>
            <w:vAlign w:val="center"/>
            <w:hideMark/>
          </w:tcPr>
          <w:p w14:paraId="6835FC3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3.356</w:t>
            </w:r>
          </w:p>
        </w:tc>
        <w:tc>
          <w:tcPr>
            <w:tcW w:w="1096" w:type="dxa"/>
            <w:tcBorders>
              <w:top w:val="nil"/>
              <w:left w:val="nil"/>
              <w:bottom w:val="single" w:sz="4" w:space="0" w:color="auto"/>
              <w:right w:val="single" w:sz="4" w:space="0" w:color="auto"/>
            </w:tcBorders>
            <w:shd w:val="clear" w:color="auto" w:fill="auto"/>
            <w:vAlign w:val="center"/>
            <w:hideMark/>
          </w:tcPr>
          <w:p w14:paraId="7A1A656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3.711</w:t>
            </w:r>
          </w:p>
        </w:tc>
        <w:tc>
          <w:tcPr>
            <w:tcW w:w="1096" w:type="dxa"/>
            <w:tcBorders>
              <w:top w:val="nil"/>
              <w:left w:val="nil"/>
              <w:bottom w:val="single" w:sz="4" w:space="0" w:color="auto"/>
              <w:right w:val="single" w:sz="4" w:space="0" w:color="auto"/>
            </w:tcBorders>
            <w:shd w:val="clear" w:color="000000" w:fill="D9D9D9"/>
            <w:vAlign w:val="center"/>
            <w:hideMark/>
          </w:tcPr>
          <w:p w14:paraId="61B232C8"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0.355</w:t>
            </w:r>
          </w:p>
        </w:tc>
        <w:tc>
          <w:tcPr>
            <w:tcW w:w="961" w:type="dxa"/>
            <w:tcBorders>
              <w:top w:val="nil"/>
              <w:left w:val="nil"/>
              <w:bottom w:val="single" w:sz="4" w:space="0" w:color="auto"/>
              <w:right w:val="single" w:sz="4" w:space="0" w:color="auto"/>
            </w:tcBorders>
            <w:shd w:val="clear" w:color="auto" w:fill="auto"/>
            <w:vAlign w:val="center"/>
            <w:hideMark/>
          </w:tcPr>
          <w:p w14:paraId="0C530C6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10.58%</w:t>
            </w:r>
          </w:p>
        </w:tc>
        <w:tc>
          <w:tcPr>
            <w:tcW w:w="880" w:type="dxa"/>
            <w:tcBorders>
              <w:top w:val="nil"/>
              <w:left w:val="nil"/>
              <w:bottom w:val="single" w:sz="4" w:space="0" w:color="auto"/>
              <w:right w:val="single" w:sz="4" w:space="0" w:color="auto"/>
            </w:tcBorders>
            <w:shd w:val="clear" w:color="000000" w:fill="D9D9D9"/>
            <w:vAlign w:val="center"/>
            <w:hideMark/>
          </w:tcPr>
          <w:p w14:paraId="690ECA6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0.722</w:t>
            </w:r>
          </w:p>
        </w:tc>
      </w:tr>
      <w:tr w:rsidR="002F12B1" w14:paraId="2A495B7A"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34EECD11"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w:t>
            </w:r>
          </w:p>
        </w:tc>
        <w:tc>
          <w:tcPr>
            <w:tcW w:w="1096" w:type="dxa"/>
            <w:tcBorders>
              <w:top w:val="nil"/>
              <w:left w:val="nil"/>
              <w:bottom w:val="single" w:sz="4" w:space="0" w:color="auto"/>
              <w:right w:val="single" w:sz="4" w:space="0" w:color="auto"/>
            </w:tcBorders>
            <w:shd w:val="clear" w:color="000000" w:fill="D9D9D9"/>
            <w:vAlign w:val="center"/>
            <w:hideMark/>
          </w:tcPr>
          <w:p w14:paraId="483DE59C"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-5.255</w:t>
            </w:r>
          </w:p>
        </w:tc>
        <w:tc>
          <w:tcPr>
            <w:tcW w:w="1096" w:type="dxa"/>
            <w:tcBorders>
              <w:top w:val="nil"/>
              <w:left w:val="nil"/>
              <w:bottom w:val="single" w:sz="4" w:space="0" w:color="auto"/>
              <w:right w:val="single" w:sz="4" w:space="0" w:color="auto"/>
            </w:tcBorders>
            <w:shd w:val="clear" w:color="000000" w:fill="D9D9D9"/>
            <w:vAlign w:val="center"/>
            <w:hideMark/>
          </w:tcPr>
          <w:p w14:paraId="099E62BF"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-4.240</w:t>
            </w:r>
          </w:p>
        </w:tc>
        <w:tc>
          <w:tcPr>
            <w:tcW w:w="1096" w:type="dxa"/>
            <w:tcBorders>
              <w:top w:val="nil"/>
              <w:left w:val="nil"/>
              <w:bottom w:val="single" w:sz="4" w:space="0" w:color="auto"/>
              <w:right w:val="single" w:sz="4" w:space="0" w:color="auto"/>
            </w:tcBorders>
            <w:shd w:val="clear" w:color="000000" w:fill="D9D9D9"/>
            <w:vAlign w:val="center"/>
            <w:hideMark/>
          </w:tcPr>
          <w:p w14:paraId="1C3F0165"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1.015</w:t>
            </w:r>
          </w:p>
        </w:tc>
        <w:tc>
          <w:tcPr>
            <w:tcW w:w="961" w:type="dxa"/>
            <w:tcBorders>
              <w:top w:val="nil"/>
              <w:left w:val="nil"/>
              <w:bottom w:val="single" w:sz="4" w:space="0" w:color="auto"/>
              <w:right w:val="single" w:sz="4" w:space="0" w:color="auto"/>
            </w:tcBorders>
            <w:shd w:val="clear" w:color="000000" w:fill="D9D9D9"/>
            <w:vAlign w:val="center"/>
            <w:hideMark/>
          </w:tcPr>
          <w:p w14:paraId="38254886"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19.31%</w:t>
            </w:r>
          </w:p>
        </w:tc>
        <w:tc>
          <w:tcPr>
            <w:tcW w:w="880" w:type="dxa"/>
            <w:tcBorders>
              <w:top w:val="nil"/>
              <w:left w:val="nil"/>
              <w:bottom w:val="single" w:sz="4" w:space="0" w:color="auto"/>
              <w:right w:val="single" w:sz="4" w:space="0" w:color="auto"/>
            </w:tcBorders>
            <w:shd w:val="clear" w:color="000000" w:fill="D9D9D9"/>
            <w:vAlign w:val="center"/>
            <w:hideMark/>
          </w:tcPr>
          <w:p w14:paraId="095C0570"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1.270</w:t>
            </w:r>
          </w:p>
        </w:tc>
      </w:tr>
      <w:tr w:rsidR="002F12B1" w14:paraId="1D025019" w14:textId="77777777" w:rsidTr="00D10794">
        <w:trPr>
          <w:trHeight w:val="292"/>
        </w:trPr>
        <w:tc>
          <w:tcPr>
            <w:tcW w:w="3967" w:type="dxa"/>
            <w:tcBorders>
              <w:top w:val="nil"/>
              <w:left w:val="single" w:sz="4" w:space="0" w:color="auto"/>
              <w:bottom w:val="single" w:sz="4" w:space="0" w:color="auto"/>
              <w:right w:val="single" w:sz="4" w:space="0" w:color="auto"/>
            </w:tcBorders>
            <w:shd w:val="clear" w:color="auto" w:fill="auto"/>
            <w:vAlign w:val="center"/>
            <w:hideMark/>
          </w:tcPr>
          <w:p w14:paraId="5B471D3A"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Share of unallocated COVID-19 emergency monies</w:t>
            </w:r>
          </w:p>
        </w:tc>
        <w:tc>
          <w:tcPr>
            <w:tcW w:w="1096" w:type="dxa"/>
            <w:tcBorders>
              <w:top w:val="nil"/>
              <w:left w:val="nil"/>
              <w:bottom w:val="single" w:sz="4" w:space="0" w:color="auto"/>
              <w:right w:val="single" w:sz="4" w:space="0" w:color="auto"/>
            </w:tcBorders>
            <w:shd w:val="clear" w:color="auto" w:fill="auto"/>
            <w:vAlign w:val="center"/>
            <w:hideMark/>
          </w:tcPr>
          <w:p w14:paraId="523925F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0.000</w:t>
            </w:r>
          </w:p>
        </w:tc>
        <w:tc>
          <w:tcPr>
            <w:tcW w:w="1096" w:type="dxa"/>
            <w:tcBorders>
              <w:top w:val="nil"/>
              <w:left w:val="nil"/>
              <w:bottom w:val="single" w:sz="4" w:space="0" w:color="auto"/>
              <w:right w:val="single" w:sz="4" w:space="0" w:color="auto"/>
            </w:tcBorders>
            <w:shd w:val="clear" w:color="auto" w:fill="auto"/>
            <w:vAlign w:val="center"/>
            <w:hideMark/>
          </w:tcPr>
          <w:p w14:paraId="7572642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-0.841</w:t>
            </w:r>
          </w:p>
        </w:tc>
        <w:tc>
          <w:tcPr>
            <w:tcW w:w="1096" w:type="dxa"/>
            <w:tcBorders>
              <w:top w:val="nil"/>
              <w:left w:val="nil"/>
              <w:bottom w:val="single" w:sz="4" w:space="0" w:color="auto"/>
              <w:right w:val="single" w:sz="4" w:space="0" w:color="auto"/>
            </w:tcBorders>
            <w:shd w:val="clear" w:color="auto" w:fill="auto"/>
            <w:vAlign w:val="center"/>
            <w:hideMark/>
          </w:tcPr>
          <w:p w14:paraId="4078E37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-0.841</w:t>
            </w:r>
          </w:p>
        </w:tc>
        <w:tc>
          <w:tcPr>
            <w:tcW w:w="961" w:type="dxa"/>
            <w:tcBorders>
              <w:top w:val="nil"/>
              <w:left w:val="nil"/>
              <w:bottom w:val="single" w:sz="4" w:space="0" w:color="auto"/>
              <w:right w:val="single" w:sz="4" w:space="0" w:color="auto"/>
            </w:tcBorders>
            <w:shd w:val="clear" w:color="auto" w:fill="auto"/>
            <w:vAlign w:val="center"/>
            <w:hideMark/>
          </w:tcPr>
          <w:p w14:paraId="78BB282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 </w:t>
            </w:r>
          </w:p>
        </w:tc>
        <w:tc>
          <w:tcPr>
            <w:tcW w:w="880" w:type="dxa"/>
            <w:tcBorders>
              <w:top w:val="nil"/>
              <w:left w:val="nil"/>
              <w:bottom w:val="single" w:sz="4" w:space="0" w:color="auto"/>
              <w:right w:val="single" w:sz="4" w:space="0" w:color="auto"/>
            </w:tcBorders>
            <w:shd w:val="clear" w:color="auto" w:fill="auto"/>
            <w:vAlign w:val="center"/>
            <w:hideMark/>
          </w:tcPr>
          <w:p w14:paraId="3F00CE9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-0.494</w:t>
            </w:r>
          </w:p>
        </w:tc>
      </w:tr>
      <w:tr w:rsidR="002F12B1" w14:paraId="7B2B29FD" w14:textId="77777777" w:rsidTr="00D10794">
        <w:trPr>
          <w:trHeight w:val="292"/>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7CC78F5E"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Public Health &amp; Wellbeing</w:t>
            </w:r>
          </w:p>
        </w:tc>
        <w:tc>
          <w:tcPr>
            <w:tcW w:w="1096" w:type="dxa"/>
            <w:tcBorders>
              <w:top w:val="nil"/>
              <w:left w:val="nil"/>
              <w:bottom w:val="single" w:sz="4" w:space="0" w:color="auto"/>
              <w:right w:val="single" w:sz="4" w:space="0" w:color="auto"/>
            </w:tcBorders>
            <w:shd w:val="clear" w:color="000000" w:fill="D9D9D9"/>
            <w:vAlign w:val="center"/>
            <w:hideMark/>
          </w:tcPr>
          <w:p w14:paraId="0ED40382"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-5.255</w:t>
            </w:r>
          </w:p>
        </w:tc>
        <w:tc>
          <w:tcPr>
            <w:tcW w:w="1096" w:type="dxa"/>
            <w:tcBorders>
              <w:top w:val="nil"/>
              <w:left w:val="nil"/>
              <w:bottom w:val="single" w:sz="4" w:space="0" w:color="auto"/>
              <w:right w:val="single" w:sz="4" w:space="0" w:color="auto"/>
            </w:tcBorders>
            <w:shd w:val="clear" w:color="000000" w:fill="D9D9D9"/>
            <w:vAlign w:val="center"/>
            <w:hideMark/>
          </w:tcPr>
          <w:p w14:paraId="76975D87"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-5.081</w:t>
            </w:r>
          </w:p>
        </w:tc>
        <w:tc>
          <w:tcPr>
            <w:tcW w:w="1096" w:type="dxa"/>
            <w:tcBorders>
              <w:top w:val="nil"/>
              <w:left w:val="nil"/>
              <w:bottom w:val="single" w:sz="4" w:space="0" w:color="auto"/>
              <w:right w:val="single" w:sz="4" w:space="0" w:color="auto"/>
            </w:tcBorders>
            <w:shd w:val="clear" w:color="000000" w:fill="D9D9D9"/>
            <w:vAlign w:val="center"/>
            <w:hideMark/>
          </w:tcPr>
          <w:p w14:paraId="27EBF2F0"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0.174</w:t>
            </w:r>
          </w:p>
        </w:tc>
        <w:tc>
          <w:tcPr>
            <w:tcW w:w="961" w:type="dxa"/>
            <w:tcBorders>
              <w:top w:val="nil"/>
              <w:left w:val="nil"/>
              <w:bottom w:val="single" w:sz="4" w:space="0" w:color="auto"/>
              <w:right w:val="single" w:sz="4" w:space="0" w:color="auto"/>
            </w:tcBorders>
            <w:shd w:val="clear" w:color="000000" w:fill="D9D9D9"/>
            <w:vAlign w:val="center"/>
            <w:hideMark/>
          </w:tcPr>
          <w:p w14:paraId="21D3B46F"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3.30%</w:t>
            </w:r>
          </w:p>
        </w:tc>
        <w:tc>
          <w:tcPr>
            <w:tcW w:w="880" w:type="dxa"/>
            <w:tcBorders>
              <w:top w:val="nil"/>
              <w:left w:val="nil"/>
              <w:bottom w:val="single" w:sz="4" w:space="0" w:color="auto"/>
              <w:right w:val="single" w:sz="4" w:space="0" w:color="auto"/>
            </w:tcBorders>
            <w:shd w:val="clear" w:color="000000" w:fill="D9D9D9"/>
            <w:vAlign w:val="center"/>
            <w:hideMark/>
          </w:tcPr>
          <w:p w14:paraId="51BDD898"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0.776</w:t>
            </w:r>
          </w:p>
        </w:tc>
      </w:tr>
    </w:tbl>
    <w:p w14:paraId="41F6C8E5" w14:textId="77777777" w:rsidR="00D10794" w:rsidRPr="00C529BF" w:rsidRDefault="00D10794" w:rsidP="00D10794">
      <w:pPr>
        <w:spacing w:after="0"/>
        <w:rPr>
          <w:rFonts w:cs="Arial"/>
          <w:highlight w:val="yellow"/>
        </w:rPr>
      </w:pPr>
    </w:p>
    <w:p w14:paraId="2E543EB8" w14:textId="393605F3" w:rsidR="00D10794" w:rsidRPr="00C12E36" w:rsidRDefault="00D10794" w:rsidP="00D10794">
      <w:pPr>
        <w:spacing w:after="0"/>
        <w:rPr>
          <w:rFonts w:cs="Arial"/>
          <w:b/>
        </w:rPr>
      </w:pPr>
      <w:r w:rsidRPr="00A827F2">
        <w:rPr>
          <w:rFonts w:cs="Arial"/>
          <w:b/>
        </w:rPr>
        <w:t>Public Health and Wellbeing – overspend £174,000</w:t>
      </w:r>
    </w:p>
    <w:p w14:paraId="70F6EE56" w14:textId="77777777" w:rsidR="00D10794" w:rsidRPr="00B90474" w:rsidRDefault="00D10794" w:rsidP="00D10794">
      <w:pPr>
        <w:spacing w:after="0"/>
        <w:rPr>
          <w:rFonts w:cs="Arial"/>
          <w:highlight w:val="green"/>
        </w:rPr>
      </w:pPr>
      <w:r w:rsidRPr="00A827F2">
        <w:rPr>
          <w:rFonts w:cs="Arial"/>
        </w:rPr>
        <w:t>The Public Health grant has underspent by £</w:t>
      </w:r>
      <w:r>
        <w:rPr>
          <w:rFonts w:cs="Arial"/>
        </w:rPr>
        <w:t>5.499</w:t>
      </w:r>
      <w:r w:rsidRPr="00A827F2">
        <w:rPr>
          <w:rFonts w:cs="Arial"/>
        </w:rPr>
        <w:t xml:space="preserve">m. This is not presented in the figures above, as the grant is ringfenced and has been transferred to reserves to be re-invested in public health eligible services in future years. </w:t>
      </w:r>
      <w:r w:rsidRPr="00AE0B43">
        <w:rPr>
          <w:rFonts w:cs="Arial"/>
        </w:rPr>
        <w:t xml:space="preserve">Elements of the service that are underspent are those which are on a tariff-based arrangement, operating on a demand basis such as sexual health, oral health, health checks and substance misuse budgets. These areas are underspent in large part due to supressed demand </w:t>
      </w:r>
      <w:proofErr w:type="gramStart"/>
      <w:r w:rsidRPr="00AE0B43">
        <w:rPr>
          <w:rFonts w:cs="Arial"/>
        </w:rPr>
        <w:t>as a result of</w:t>
      </w:r>
      <w:proofErr w:type="gramEnd"/>
      <w:r w:rsidRPr="00AE0B43">
        <w:rPr>
          <w:rFonts w:cs="Arial"/>
        </w:rPr>
        <w:t xml:space="preserve"> the severe restrictions that Lancashire has been placed under during the pandemic. In future years we expect to see demand increase and health inequalities across different areas in Lancashire will need to be addressed. </w:t>
      </w:r>
    </w:p>
    <w:p w14:paraId="4C223CBF" w14:textId="77777777" w:rsidR="00D10794" w:rsidRPr="00B90474" w:rsidRDefault="00D10794" w:rsidP="00D10794">
      <w:pPr>
        <w:spacing w:after="0"/>
        <w:rPr>
          <w:rFonts w:cs="Arial"/>
          <w:highlight w:val="green"/>
        </w:rPr>
      </w:pPr>
    </w:p>
    <w:p w14:paraId="58814D9E" w14:textId="77777777" w:rsidR="00D10794" w:rsidRPr="002F6537" w:rsidRDefault="00D10794" w:rsidP="00D10794">
      <w:pPr>
        <w:spacing w:after="0"/>
        <w:rPr>
          <w:rFonts w:cs="Arial"/>
        </w:rPr>
      </w:pPr>
      <w:r w:rsidRPr="002F6537">
        <w:rPr>
          <w:rFonts w:cs="Arial"/>
        </w:rPr>
        <w:t xml:space="preserve">The service has incurred additional costs due to Covid-19 in areas such as establishing outbreak management arrangements and increasing staffing to support the response to the pandemic. As a </w:t>
      </w:r>
      <w:proofErr w:type="gramStart"/>
      <w:r w:rsidRPr="002F6537">
        <w:rPr>
          <w:rFonts w:cs="Arial"/>
        </w:rPr>
        <w:t>result</w:t>
      </w:r>
      <w:proofErr w:type="gramEnd"/>
      <w:r w:rsidRPr="002F6537">
        <w:rPr>
          <w:rFonts w:cs="Arial"/>
        </w:rPr>
        <w:t xml:space="preserve"> Public Health &amp; Wellbeing has been apportioned £841,000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738B8541" w14:textId="77777777" w:rsidR="00D10794" w:rsidRPr="00B90474" w:rsidRDefault="00D10794" w:rsidP="00D10794">
      <w:pPr>
        <w:spacing w:after="0"/>
        <w:rPr>
          <w:rFonts w:cs="Arial"/>
          <w:b/>
          <w:highlight w:val="green"/>
        </w:rPr>
      </w:pPr>
    </w:p>
    <w:p w14:paraId="4A840D2B" w14:textId="77777777" w:rsidR="00D10794" w:rsidRDefault="00D10794" w:rsidP="00D10794">
      <w:pPr>
        <w:tabs>
          <w:tab w:val="left" w:pos="851"/>
          <w:tab w:val="left" w:pos="1418"/>
        </w:tabs>
        <w:spacing w:after="0"/>
        <w:rPr>
          <w:rFonts w:cs="Arial"/>
        </w:rPr>
      </w:pPr>
      <w:r w:rsidRPr="002F6537">
        <w:rPr>
          <w:rFonts w:cs="Arial"/>
        </w:rPr>
        <w:t xml:space="preserve">Trading Standards and Scientific Services </w:t>
      </w:r>
      <w:r>
        <w:rPr>
          <w:rFonts w:cs="Arial"/>
        </w:rPr>
        <w:t xml:space="preserve">has </w:t>
      </w:r>
      <w:r w:rsidRPr="002F6537">
        <w:rPr>
          <w:rFonts w:cs="Arial"/>
        </w:rPr>
        <w:t>an under-recovery of income, with some of this due to the Covid-19 pandemic. There are also some income and cost pressures which are currently being reviewed to establish the reasoning behind the pressures, ascertain if they are recurrent, and determine if they can be recovered by the service or if they will need to be built into the MTFS.</w:t>
      </w:r>
      <w:r w:rsidRPr="00E0175C">
        <w:rPr>
          <w:rFonts w:cs="Arial"/>
        </w:rPr>
        <w:t xml:space="preserve"> </w:t>
      </w:r>
    </w:p>
    <w:p w14:paraId="46F9FC85" w14:textId="77777777" w:rsidR="00D10794" w:rsidRPr="00C529BF" w:rsidRDefault="00D10794" w:rsidP="00D10794">
      <w:pPr>
        <w:spacing w:after="0"/>
        <w:rPr>
          <w:rFonts w:cs="Arial"/>
          <w:highlight w:val="yellow"/>
        </w:rPr>
      </w:pPr>
    </w:p>
    <w:p w14:paraId="7F59423E" w14:textId="77777777" w:rsidR="00D10794" w:rsidRPr="00C529BF" w:rsidRDefault="00D10794" w:rsidP="00D10794">
      <w:pPr>
        <w:spacing w:after="0"/>
        <w:rPr>
          <w:rFonts w:cs="Arial"/>
          <w:b/>
          <w:highlight w:val="yellow"/>
          <w:u w:val="single"/>
        </w:rPr>
      </w:pPr>
      <w:r w:rsidRPr="00C529BF">
        <w:rPr>
          <w:rFonts w:cs="Arial"/>
          <w:b/>
          <w:highlight w:val="yellow"/>
          <w:u w:val="single"/>
        </w:rPr>
        <w:br w:type="page"/>
      </w:r>
    </w:p>
    <w:p w14:paraId="1E4F531D" w14:textId="77777777" w:rsidR="00D10794" w:rsidRPr="009F5760" w:rsidRDefault="00D10794" w:rsidP="00D10794">
      <w:pPr>
        <w:spacing w:after="0"/>
        <w:rPr>
          <w:rFonts w:eastAsia="Times New Roman" w:cs="Arial"/>
          <w:b/>
          <w:lang w:eastAsia="en-GB"/>
        </w:rPr>
      </w:pPr>
      <w:r w:rsidRPr="009F5760">
        <w:rPr>
          <w:rFonts w:eastAsia="Times New Roman" w:cs="Arial"/>
          <w:b/>
          <w:lang w:eastAsia="en-GB"/>
        </w:rPr>
        <w:lastRenderedPageBreak/>
        <w:t>3.3</w:t>
      </w:r>
      <w:r w:rsidRPr="009F5760">
        <w:rPr>
          <w:rFonts w:eastAsia="Times New Roman" w:cs="Arial"/>
          <w:b/>
          <w:lang w:eastAsia="en-GB"/>
        </w:rPr>
        <w:tab/>
      </w:r>
      <w:r w:rsidRPr="009F5760">
        <w:rPr>
          <w:rFonts w:cs="Arial"/>
          <w:b/>
        </w:rPr>
        <w:t>Policy, Information, Commissioning and Safeguarding</w:t>
      </w:r>
    </w:p>
    <w:p w14:paraId="64344C7C" w14:textId="77777777" w:rsidR="00D10794" w:rsidRPr="00C529BF" w:rsidRDefault="00D10794" w:rsidP="00D10794">
      <w:pPr>
        <w:spacing w:after="0"/>
        <w:rPr>
          <w:rFonts w:cs="Arial"/>
          <w:b/>
          <w:highlight w:val="yellow"/>
          <w:u w:val="single"/>
        </w:rPr>
      </w:pPr>
    </w:p>
    <w:tbl>
      <w:tblPr>
        <w:tblW w:w="8851" w:type="dxa"/>
        <w:tblLook w:val="04A0" w:firstRow="1" w:lastRow="0" w:firstColumn="1" w:lastColumn="0" w:noHBand="0" w:noVBand="1"/>
      </w:tblPr>
      <w:tblGrid>
        <w:gridCol w:w="3490"/>
        <w:gridCol w:w="1150"/>
        <w:gridCol w:w="1047"/>
        <w:gridCol w:w="1064"/>
        <w:gridCol w:w="1050"/>
        <w:gridCol w:w="1050"/>
      </w:tblGrid>
      <w:tr w:rsidR="002F12B1" w14:paraId="5B47F381" w14:textId="77777777" w:rsidTr="00D10794">
        <w:trPr>
          <w:trHeight w:val="768"/>
        </w:trPr>
        <w:tc>
          <w:tcPr>
            <w:tcW w:w="38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671FCA" w14:textId="77777777" w:rsidR="00D10794" w:rsidRPr="009F5760" w:rsidRDefault="00D10794" w:rsidP="00D10794">
            <w:pPr>
              <w:autoSpaceDE/>
              <w:autoSpaceDN/>
              <w:adjustRightInd/>
              <w:spacing w:after="0"/>
              <w:jc w:val="left"/>
              <w:rPr>
                <w:rFonts w:eastAsia="Times New Roman" w:cs="Arial"/>
                <w:b/>
                <w:bCs/>
                <w:sz w:val="20"/>
                <w:szCs w:val="20"/>
                <w:lang w:eastAsia="en-GB"/>
              </w:rPr>
            </w:pPr>
          </w:p>
        </w:tc>
        <w:tc>
          <w:tcPr>
            <w:tcW w:w="1067" w:type="dxa"/>
            <w:tcBorders>
              <w:top w:val="single" w:sz="4" w:space="0" w:color="auto"/>
              <w:left w:val="nil"/>
              <w:bottom w:val="single" w:sz="4" w:space="0" w:color="auto"/>
              <w:right w:val="single" w:sz="4" w:space="0" w:color="auto"/>
            </w:tcBorders>
            <w:shd w:val="clear" w:color="000000" w:fill="D9D9D9"/>
            <w:vAlign w:val="center"/>
            <w:hideMark/>
          </w:tcPr>
          <w:p w14:paraId="203B740F"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Approved Net Budget </w:t>
            </w:r>
          </w:p>
        </w:tc>
        <w:tc>
          <w:tcPr>
            <w:tcW w:w="1067" w:type="dxa"/>
            <w:tcBorders>
              <w:top w:val="single" w:sz="4" w:space="0" w:color="auto"/>
              <w:left w:val="nil"/>
              <w:bottom w:val="single" w:sz="4" w:space="0" w:color="auto"/>
              <w:right w:val="single" w:sz="4" w:space="0" w:color="auto"/>
            </w:tcBorders>
            <w:shd w:val="clear" w:color="000000" w:fill="D9D9D9"/>
            <w:vAlign w:val="center"/>
            <w:hideMark/>
          </w:tcPr>
          <w:p w14:paraId="23E0179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Net Outturn </w:t>
            </w:r>
          </w:p>
        </w:tc>
        <w:tc>
          <w:tcPr>
            <w:tcW w:w="1067" w:type="dxa"/>
            <w:tcBorders>
              <w:top w:val="single" w:sz="4" w:space="0" w:color="auto"/>
              <w:left w:val="nil"/>
              <w:bottom w:val="single" w:sz="4" w:space="0" w:color="auto"/>
              <w:right w:val="single" w:sz="4" w:space="0" w:color="auto"/>
            </w:tcBorders>
            <w:shd w:val="clear" w:color="000000" w:fill="D9D9D9"/>
            <w:vAlign w:val="center"/>
            <w:hideMark/>
          </w:tcPr>
          <w:p w14:paraId="66F6329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935" w:type="dxa"/>
            <w:tcBorders>
              <w:top w:val="single" w:sz="4" w:space="0" w:color="auto"/>
              <w:left w:val="nil"/>
              <w:bottom w:val="single" w:sz="4" w:space="0" w:color="auto"/>
              <w:right w:val="single" w:sz="4" w:space="0" w:color="auto"/>
            </w:tcBorders>
            <w:shd w:val="clear" w:color="000000" w:fill="D9D9D9"/>
            <w:vAlign w:val="center"/>
            <w:hideMark/>
          </w:tcPr>
          <w:p w14:paraId="0E003EF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856" w:type="dxa"/>
            <w:tcBorders>
              <w:top w:val="single" w:sz="4" w:space="0" w:color="auto"/>
              <w:left w:val="nil"/>
              <w:bottom w:val="single" w:sz="4" w:space="0" w:color="auto"/>
              <w:right w:val="single" w:sz="4" w:space="0" w:color="auto"/>
            </w:tcBorders>
            <w:shd w:val="clear" w:color="000000" w:fill="D9D9D9"/>
            <w:vAlign w:val="center"/>
            <w:hideMark/>
          </w:tcPr>
          <w:p w14:paraId="3A7CA80E"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Q3 Forecast Variance</w:t>
            </w:r>
          </w:p>
        </w:tc>
      </w:tr>
      <w:tr w:rsidR="002F12B1" w14:paraId="00B1F150" w14:textId="77777777" w:rsidTr="00D10794">
        <w:trPr>
          <w:trHeight w:val="301"/>
        </w:trPr>
        <w:tc>
          <w:tcPr>
            <w:tcW w:w="3859" w:type="dxa"/>
            <w:tcBorders>
              <w:top w:val="nil"/>
              <w:left w:val="single" w:sz="4" w:space="0" w:color="auto"/>
              <w:bottom w:val="single" w:sz="4" w:space="0" w:color="auto"/>
              <w:right w:val="single" w:sz="4" w:space="0" w:color="auto"/>
            </w:tcBorders>
            <w:shd w:val="clear" w:color="000000" w:fill="D9D9D9"/>
            <w:vAlign w:val="center"/>
            <w:hideMark/>
          </w:tcPr>
          <w:p w14:paraId="72559492"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w:t>
            </w:r>
          </w:p>
        </w:tc>
        <w:tc>
          <w:tcPr>
            <w:tcW w:w="1067" w:type="dxa"/>
            <w:tcBorders>
              <w:top w:val="nil"/>
              <w:left w:val="nil"/>
              <w:bottom w:val="single" w:sz="4" w:space="0" w:color="auto"/>
              <w:right w:val="single" w:sz="4" w:space="0" w:color="auto"/>
            </w:tcBorders>
            <w:shd w:val="clear" w:color="000000" w:fill="D9D9D9"/>
            <w:vAlign w:val="center"/>
            <w:hideMark/>
          </w:tcPr>
          <w:p w14:paraId="583196C7"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67" w:type="dxa"/>
            <w:tcBorders>
              <w:top w:val="nil"/>
              <w:left w:val="nil"/>
              <w:bottom w:val="single" w:sz="4" w:space="0" w:color="auto"/>
              <w:right w:val="single" w:sz="4" w:space="0" w:color="auto"/>
            </w:tcBorders>
            <w:shd w:val="clear" w:color="000000" w:fill="D9D9D9"/>
            <w:vAlign w:val="center"/>
            <w:hideMark/>
          </w:tcPr>
          <w:p w14:paraId="0172464F"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67" w:type="dxa"/>
            <w:tcBorders>
              <w:top w:val="nil"/>
              <w:left w:val="nil"/>
              <w:bottom w:val="single" w:sz="4" w:space="0" w:color="auto"/>
              <w:right w:val="single" w:sz="4" w:space="0" w:color="auto"/>
            </w:tcBorders>
            <w:shd w:val="clear" w:color="000000" w:fill="D9D9D9"/>
            <w:vAlign w:val="center"/>
            <w:hideMark/>
          </w:tcPr>
          <w:p w14:paraId="17FFFB66"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935" w:type="dxa"/>
            <w:tcBorders>
              <w:top w:val="nil"/>
              <w:left w:val="nil"/>
              <w:bottom w:val="single" w:sz="4" w:space="0" w:color="auto"/>
              <w:right w:val="single" w:sz="4" w:space="0" w:color="auto"/>
            </w:tcBorders>
            <w:shd w:val="clear" w:color="000000" w:fill="D9D9D9"/>
            <w:vAlign w:val="center"/>
            <w:hideMark/>
          </w:tcPr>
          <w:p w14:paraId="525C4275"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w:t>
            </w:r>
          </w:p>
        </w:tc>
        <w:tc>
          <w:tcPr>
            <w:tcW w:w="856" w:type="dxa"/>
            <w:tcBorders>
              <w:top w:val="nil"/>
              <w:left w:val="nil"/>
              <w:bottom w:val="single" w:sz="4" w:space="0" w:color="auto"/>
              <w:right w:val="single" w:sz="4" w:space="0" w:color="auto"/>
            </w:tcBorders>
            <w:shd w:val="clear" w:color="000000" w:fill="D9D9D9"/>
            <w:vAlign w:val="center"/>
            <w:hideMark/>
          </w:tcPr>
          <w:p w14:paraId="386E7602"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r>
      <w:tr w:rsidR="002F12B1" w14:paraId="74D76A84" w14:textId="77777777" w:rsidTr="00D10794">
        <w:trPr>
          <w:trHeight w:val="301"/>
        </w:trPr>
        <w:tc>
          <w:tcPr>
            <w:tcW w:w="3859" w:type="dxa"/>
            <w:tcBorders>
              <w:top w:val="nil"/>
              <w:left w:val="single" w:sz="4" w:space="0" w:color="auto"/>
              <w:bottom w:val="single" w:sz="4" w:space="0" w:color="auto"/>
              <w:right w:val="single" w:sz="4" w:space="0" w:color="auto"/>
            </w:tcBorders>
            <w:shd w:val="clear" w:color="000000" w:fill="D9D9D9"/>
            <w:vAlign w:val="center"/>
            <w:hideMark/>
          </w:tcPr>
          <w:p w14:paraId="45834196"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Policy Info &amp; Commission Age Well</w:t>
            </w:r>
          </w:p>
        </w:tc>
        <w:tc>
          <w:tcPr>
            <w:tcW w:w="1067" w:type="dxa"/>
            <w:tcBorders>
              <w:top w:val="nil"/>
              <w:left w:val="nil"/>
              <w:bottom w:val="single" w:sz="4" w:space="0" w:color="auto"/>
              <w:right w:val="single" w:sz="4" w:space="0" w:color="auto"/>
            </w:tcBorders>
            <w:shd w:val="clear" w:color="auto" w:fill="auto"/>
            <w:vAlign w:val="center"/>
            <w:hideMark/>
          </w:tcPr>
          <w:p w14:paraId="5777E1D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0.832</w:t>
            </w:r>
          </w:p>
        </w:tc>
        <w:tc>
          <w:tcPr>
            <w:tcW w:w="1067" w:type="dxa"/>
            <w:tcBorders>
              <w:top w:val="nil"/>
              <w:left w:val="nil"/>
              <w:bottom w:val="single" w:sz="4" w:space="0" w:color="auto"/>
              <w:right w:val="single" w:sz="4" w:space="0" w:color="auto"/>
            </w:tcBorders>
            <w:shd w:val="clear" w:color="auto" w:fill="auto"/>
            <w:vAlign w:val="center"/>
            <w:hideMark/>
          </w:tcPr>
          <w:p w14:paraId="2D1F21C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0.845</w:t>
            </w:r>
          </w:p>
        </w:tc>
        <w:tc>
          <w:tcPr>
            <w:tcW w:w="1067" w:type="dxa"/>
            <w:tcBorders>
              <w:top w:val="nil"/>
              <w:left w:val="nil"/>
              <w:bottom w:val="single" w:sz="4" w:space="0" w:color="auto"/>
              <w:right w:val="single" w:sz="4" w:space="0" w:color="auto"/>
            </w:tcBorders>
            <w:shd w:val="clear" w:color="000000" w:fill="D9D9D9"/>
            <w:vAlign w:val="center"/>
            <w:hideMark/>
          </w:tcPr>
          <w:p w14:paraId="1E5FF67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0.013</w:t>
            </w:r>
          </w:p>
        </w:tc>
        <w:tc>
          <w:tcPr>
            <w:tcW w:w="935" w:type="dxa"/>
            <w:tcBorders>
              <w:top w:val="nil"/>
              <w:left w:val="nil"/>
              <w:bottom w:val="single" w:sz="4" w:space="0" w:color="auto"/>
              <w:right w:val="single" w:sz="4" w:space="0" w:color="auto"/>
            </w:tcBorders>
            <w:shd w:val="clear" w:color="auto" w:fill="auto"/>
            <w:vAlign w:val="center"/>
            <w:hideMark/>
          </w:tcPr>
          <w:p w14:paraId="627EC98F"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1.56%</w:t>
            </w:r>
          </w:p>
        </w:tc>
        <w:tc>
          <w:tcPr>
            <w:tcW w:w="856" w:type="dxa"/>
            <w:tcBorders>
              <w:top w:val="nil"/>
              <w:left w:val="nil"/>
              <w:bottom w:val="single" w:sz="4" w:space="0" w:color="auto"/>
              <w:right w:val="single" w:sz="4" w:space="0" w:color="auto"/>
            </w:tcBorders>
            <w:shd w:val="clear" w:color="000000" w:fill="D9D9D9"/>
            <w:vAlign w:val="center"/>
            <w:hideMark/>
          </w:tcPr>
          <w:p w14:paraId="350751B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0.017</w:t>
            </w:r>
          </w:p>
        </w:tc>
      </w:tr>
      <w:tr w:rsidR="002F12B1" w14:paraId="17466AEC" w14:textId="77777777" w:rsidTr="00D10794">
        <w:trPr>
          <w:trHeight w:val="301"/>
        </w:trPr>
        <w:tc>
          <w:tcPr>
            <w:tcW w:w="3859" w:type="dxa"/>
            <w:tcBorders>
              <w:top w:val="nil"/>
              <w:left w:val="single" w:sz="4" w:space="0" w:color="auto"/>
              <w:bottom w:val="single" w:sz="4" w:space="0" w:color="auto"/>
              <w:right w:val="single" w:sz="4" w:space="0" w:color="auto"/>
            </w:tcBorders>
            <w:shd w:val="clear" w:color="000000" w:fill="D9D9D9"/>
            <w:vAlign w:val="center"/>
            <w:hideMark/>
          </w:tcPr>
          <w:p w14:paraId="071E4643"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Policy Info &amp; Commission Live Well</w:t>
            </w:r>
          </w:p>
        </w:tc>
        <w:tc>
          <w:tcPr>
            <w:tcW w:w="1067" w:type="dxa"/>
            <w:tcBorders>
              <w:top w:val="nil"/>
              <w:left w:val="nil"/>
              <w:bottom w:val="single" w:sz="4" w:space="0" w:color="auto"/>
              <w:right w:val="single" w:sz="4" w:space="0" w:color="auto"/>
            </w:tcBorders>
            <w:shd w:val="clear" w:color="auto" w:fill="auto"/>
            <w:vAlign w:val="center"/>
            <w:hideMark/>
          </w:tcPr>
          <w:p w14:paraId="2F7A390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0.892</w:t>
            </w:r>
          </w:p>
        </w:tc>
        <w:tc>
          <w:tcPr>
            <w:tcW w:w="1067" w:type="dxa"/>
            <w:tcBorders>
              <w:top w:val="nil"/>
              <w:left w:val="nil"/>
              <w:bottom w:val="single" w:sz="4" w:space="0" w:color="auto"/>
              <w:right w:val="single" w:sz="4" w:space="0" w:color="auto"/>
            </w:tcBorders>
            <w:shd w:val="clear" w:color="auto" w:fill="auto"/>
            <w:vAlign w:val="center"/>
            <w:hideMark/>
          </w:tcPr>
          <w:p w14:paraId="7EE9ABD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0.916</w:t>
            </w:r>
          </w:p>
        </w:tc>
        <w:tc>
          <w:tcPr>
            <w:tcW w:w="1067" w:type="dxa"/>
            <w:tcBorders>
              <w:top w:val="nil"/>
              <w:left w:val="nil"/>
              <w:bottom w:val="single" w:sz="4" w:space="0" w:color="auto"/>
              <w:right w:val="single" w:sz="4" w:space="0" w:color="auto"/>
            </w:tcBorders>
            <w:shd w:val="clear" w:color="000000" w:fill="D9D9D9"/>
            <w:vAlign w:val="center"/>
            <w:hideMark/>
          </w:tcPr>
          <w:p w14:paraId="65720DB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0.024</w:t>
            </w:r>
          </w:p>
        </w:tc>
        <w:tc>
          <w:tcPr>
            <w:tcW w:w="935" w:type="dxa"/>
            <w:tcBorders>
              <w:top w:val="nil"/>
              <w:left w:val="nil"/>
              <w:bottom w:val="single" w:sz="4" w:space="0" w:color="auto"/>
              <w:right w:val="single" w:sz="4" w:space="0" w:color="auto"/>
            </w:tcBorders>
            <w:shd w:val="clear" w:color="auto" w:fill="auto"/>
            <w:vAlign w:val="center"/>
            <w:hideMark/>
          </w:tcPr>
          <w:p w14:paraId="6385827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2.69%</w:t>
            </w:r>
          </w:p>
        </w:tc>
        <w:tc>
          <w:tcPr>
            <w:tcW w:w="856" w:type="dxa"/>
            <w:tcBorders>
              <w:top w:val="nil"/>
              <w:left w:val="nil"/>
              <w:bottom w:val="single" w:sz="4" w:space="0" w:color="auto"/>
              <w:right w:val="single" w:sz="4" w:space="0" w:color="auto"/>
            </w:tcBorders>
            <w:shd w:val="clear" w:color="000000" w:fill="D9D9D9"/>
            <w:vAlign w:val="center"/>
            <w:hideMark/>
          </w:tcPr>
          <w:p w14:paraId="13EA1C2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0.021</w:t>
            </w:r>
          </w:p>
        </w:tc>
      </w:tr>
      <w:tr w:rsidR="002F12B1" w14:paraId="047BE1BA" w14:textId="77777777" w:rsidTr="00D10794">
        <w:trPr>
          <w:trHeight w:val="301"/>
        </w:trPr>
        <w:tc>
          <w:tcPr>
            <w:tcW w:w="3859" w:type="dxa"/>
            <w:tcBorders>
              <w:top w:val="nil"/>
              <w:left w:val="single" w:sz="4" w:space="0" w:color="auto"/>
              <w:bottom w:val="single" w:sz="4" w:space="0" w:color="auto"/>
              <w:right w:val="single" w:sz="4" w:space="0" w:color="auto"/>
            </w:tcBorders>
            <w:shd w:val="clear" w:color="000000" w:fill="D9D9D9"/>
            <w:vAlign w:val="center"/>
            <w:hideMark/>
          </w:tcPr>
          <w:p w14:paraId="03808B0C"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Safeguarding &amp; Quality Improvement Services</w:t>
            </w:r>
          </w:p>
        </w:tc>
        <w:tc>
          <w:tcPr>
            <w:tcW w:w="1067" w:type="dxa"/>
            <w:tcBorders>
              <w:top w:val="nil"/>
              <w:left w:val="nil"/>
              <w:bottom w:val="single" w:sz="4" w:space="0" w:color="auto"/>
              <w:right w:val="single" w:sz="4" w:space="0" w:color="auto"/>
            </w:tcBorders>
            <w:shd w:val="clear" w:color="auto" w:fill="auto"/>
            <w:vAlign w:val="center"/>
            <w:hideMark/>
          </w:tcPr>
          <w:p w14:paraId="7562FE6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5.885</w:t>
            </w:r>
          </w:p>
        </w:tc>
        <w:tc>
          <w:tcPr>
            <w:tcW w:w="1067" w:type="dxa"/>
            <w:tcBorders>
              <w:top w:val="nil"/>
              <w:left w:val="nil"/>
              <w:bottom w:val="single" w:sz="4" w:space="0" w:color="auto"/>
              <w:right w:val="single" w:sz="4" w:space="0" w:color="auto"/>
            </w:tcBorders>
            <w:shd w:val="clear" w:color="auto" w:fill="auto"/>
            <w:vAlign w:val="center"/>
            <w:hideMark/>
          </w:tcPr>
          <w:p w14:paraId="71C5EA3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5.983</w:t>
            </w:r>
          </w:p>
        </w:tc>
        <w:tc>
          <w:tcPr>
            <w:tcW w:w="1067" w:type="dxa"/>
            <w:tcBorders>
              <w:top w:val="nil"/>
              <w:left w:val="nil"/>
              <w:bottom w:val="single" w:sz="4" w:space="0" w:color="auto"/>
              <w:right w:val="single" w:sz="4" w:space="0" w:color="auto"/>
            </w:tcBorders>
            <w:shd w:val="clear" w:color="000000" w:fill="D9D9D9"/>
            <w:vAlign w:val="center"/>
            <w:hideMark/>
          </w:tcPr>
          <w:p w14:paraId="50B6258D"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0.098</w:t>
            </w:r>
          </w:p>
        </w:tc>
        <w:tc>
          <w:tcPr>
            <w:tcW w:w="935" w:type="dxa"/>
            <w:tcBorders>
              <w:top w:val="nil"/>
              <w:left w:val="nil"/>
              <w:bottom w:val="single" w:sz="4" w:space="0" w:color="auto"/>
              <w:right w:val="single" w:sz="4" w:space="0" w:color="auto"/>
            </w:tcBorders>
            <w:shd w:val="clear" w:color="auto" w:fill="auto"/>
            <w:vAlign w:val="center"/>
            <w:hideMark/>
          </w:tcPr>
          <w:p w14:paraId="76CB84A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1.67%</w:t>
            </w:r>
          </w:p>
        </w:tc>
        <w:tc>
          <w:tcPr>
            <w:tcW w:w="856" w:type="dxa"/>
            <w:tcBorders>
              <w:top w:val="nil"/>
              <w:left w:val="nil"/>
              <w:bottom w:val="single" w:sz="4" w:space="0" w:color="auto"/>
              <w:right w:val="single" w:sz="4" w:space="0" w:color="auto"/>
            </w:tcBorders>
            <w:shd w:val="clear" w:color="000000" w:fill="D9D9D9"/>
            <w:vAlign w:val="center"/>
            <w:hideMark/>
          </w:tcPr>
          <w:p w14:paraId="78AC491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0.040</w:t>
            </w:r>
          </w:p>
        </w:tc>
      </w:tr>
      <w:tr w:rsidR="002F12B1" w14:paraId="3B1DAE6D" w14:textId="77777777" w:rsidTr="00D10794">
        <w:trPr>
          <w:trHeight w:val="704"/>
        </w:trPr>
        <w:tc>
          <w:tcPr>
            <w:tcW w:w="3859" w:type="dxa"/>
            <w:tcBorders>
              <w:top w:val="nil"/>
              <w:left w:val="single" w:sz="4" w:space="0" w:color="auto"/>
              <w:bottom w:val="single" w:sz="4" w:space="0" w:color="auto"/>
              <w:right w:val="single" w:sz="4" w:space="0" w:color="auto"/>
            </w:tcBorders>
            <w:shd w:val="clear" w:color="000000" w:fill="D9D9D9"/>
            <w:vAlign w:val="center"/>
            <w:hideMark/>
          </w:tcPr>
          <w:p w14:paraId="1F8F5A3D"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Policy, Information, Commissioning and Safeguarding</w:t>
            </w:r>
          </w:p>
        </w:tc>
        <w:tc>
          <w:tcPr>
            <w:tcW w:w="1067" w:type="dxa"/>
            <w:tcBorders>
              <w:top w:val="nil"/>
              <w:left w:val="nil"/>
              <w:bottom w:val="single" w:sz="4" w:space="0" w:color="auto"/>
              <w:right w:val="single" w:sz="4" w:space="0" w:color="auto"/>
            </w:tcBorders>
            <w:shd w:val="clear" w:color="000000" w:fill="D9D9D9"/>
            <w:vAlign w:val="center"/>
            <w:hideMark/>
          </w:tcPr>
          <w:p w14:paraId="59859C71"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7.609</w:t>
            </w:r>
          </w:p>
        </w:tc>
        <w:tc>
          <w:tcPr>
            <w:tcW w:w="1067" w:type="dxa"/>
            <w:tcBorders>
              <w:top w:val="nil"/>
              <w:left w:val="nil"/>
              <w:bottom w:val="single" w:sz="4" w:space="0" w:color="auto"/>
              <w:right w:val="single" w:sz="4" w:space="0" w:color="auto"/>
            </w:tcBorders>
            <w:shd w:val="clear" w:color="000000" w:fill="D9D9D9"/>
            <w:vAlign w:val="center"/>
            <w:hideMark/>
          </w:tcPr>
          <w:p w14:paraId="75CF836C"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7.744</w:t>
            </w:r>
          </w:p>
        </w:tc>
        <w:tc>
          <w:tcPr>
            <w:tcW w:w="1067" w:type="dxa"/>
            <w:tcBorders>
              <w:top w:val="nil"/>
              <w:left w:val="nil"/>
              <w:bottom w:val="single" w:sz="4" w:space="0" w:color="auto"/>
              <w:right w:val="single" w:sz="4" w:space="0" w:color="auto"/>
            </w:tcBorders>
            <w:shd w:val="clear" w:color="000000" w:fill="D9D9D9"/>
            <w:vAlign w:val="center"/>
            <w:hideMark/>
          </w:tcPr>
          <w:p w14:paraId="34F1C769"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0.135</w:t>
            </w:r>
          </w:p>
        </w:tc>
        <w:tc>
          <w:tcPr>
            <w:tcW w:w="935" w:type="dxa"/>
            <w:tcBorders>
              <w:top w:val="nil"/>
              <w:left w:val="nil"/>
              <w:bottom w:val="single" w:sz="4" w:space="0" w:color="auto"/>
              <w:right w:val="single" w:sz="4" w:space="0" w:color="auto"/>
            </w:tcBorders>
            <w:shd w:val="clear" w:color="000000" w:fill="D9D9D9"/>
            <w:vAlign w:val="center"/>
            <w:hideMark/>
          </w:tcPr>
          <w:p w14:paraId="3A7BE6A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1.77%</w:t>
            </w:r>
          </w:p>
        </w:tc>
        <w:tc>
          <w:tcPr>
            <w:tcW w:w="856" w:type="dxa"/>
            <w:tcBorders>
              <w:top w:val="nil"/>
              <w:left w:val="nil"/>
              <w:bottom w:val="single" w:sz="4" w:space="0" w:color="auto"/>
              <w:right w:val="single" w:sz="4" w:space="0" w:color="auto"/>
            </w:tcBorders>
            <w:shd w:val="clear" w:color="000000" w:fill="D9D9D9"/>
            <w:vAlign w:val="center"/>
            <w:hideMark/>
          </w:tcPr>
          <w:p w14:paraId="3E4D6B64"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0.078</w:t>
            </w:r>
          </w:p>
        </w:tc>
      </w:tr>
    </w:tbl>
    <w:p w14:paraId="7CB94FEE" w14:textId="77777777" w:rsidR="00D10794" w:rsidRPr="00C529BF" w:rsidRDefault="00D10794" w:rsidP="00D10794">
      <w:pPr>
        <w:spacing w:after="0"/>
        <w:rPr>
          <w:rFonts w:cs="Arial"/>
          <w:highlight w:val="yellow"/>
        </w:rPr>
      </w:pPr>
    </w:p>
    <w:p w14:paraId="6C3C5079" w14:textId="77777777" w:rsidR="00D10794" w:rsidRPr="009B671D" w:rsidRDefault="00D10794" w:rsidP="00D10794">
      <w:pPr>
        <w:tabs>
          <w:tab w:val="left" w:pos="851"/>
          <w:tab w:val="left" w:pos="1418"/>
        </w:tabs>
        <w:spacing w:after="0"/>
        <w:rPr>
          <w:rFonts w:cs="Arial"/>
          <w:b/>
        </w:rPr>
      </w:pPr>
      <w:r w:rsidRPr="009B671D">
        <w:rPr>
          <w:rFonts w:cs="Arial"/>
          <w:b/>
        </w:rPr>
        <w:t>Policy, Information and Commissioning, Quality, Contracts and Safeguarding Adults Services – forecast overspend £</w:t>
      </w:r>
      <w:r>
        <w:rPr>
          <w:rFonts w:cs="Arial"/>
          <w:b/>
        </w:rPr>
        <w:t>135,000</w:t>
      </w:r>
      <w:r w:rsidRPr="009B671D">
        <w:rPr>
          <w:rFonts w:cs="Arial"/>
          <w:b/>
        </w:rPr>
        <w:t xml:space="preserve"> </w:t>
      </w:r>
    </w:p>
    <w:p w14:paraId="60E82B44" w14:textId="77777777" w:rsidR="00D10794" w:rsidRPr="009B671D" w:rsidRDefault="00D10794" w:rsidP="00D10794">
      <w:pPr>
        <w:spacing w:after="0"/>
        <w:rPr>
          <w:rFonts w:cs="Arial"/>
        </w:rPr>
      </w:pPr>
      <w:r w:rsidRPr="009B671D">
        <w:rPr>
          <w:rFonts w:cs="Arial"/>
        </w:rPr>
        <w:t>There are various minor overspends across policy, information, commissioning and safeguarding</w:t>
      </w:r>
      <w:r>
        <w:rPr>
          <w:rFonts w:cs="Arial"/>
        </w:rPr>
        <w:t>.</w:t>
      </w:r>
    </w:p>
    <w:p w14:paraId="45D0AC8A" w14:textId="77777777" w:rsidR="00D10794" w:rsidRPr="00C529BF" w:rsidRDefault="00D10794" w:rsidP="00D10794">
      <w:pPr>
        <w:spacing w:after="0"/>
        <w:rPr>
          <w:rFonts w:cs="Arial"/>
          <w:b/>
          <w:highlight w:val="yellow"/>
          <w:u w:val="single"/>
        </w:rPr>
      </w:pPr>
    </w:p>
    <w:p w14:paraId="717805FE" w14:textId="77777777" w:rsidR="00D10794" w:rsidRPr="00C529BF" w:rsidRDefault="00D10794" w:rsidP="00D10794">
      <w:pPr>
        <w:spacing w:after="0"/>
        <w:rPr>
          <w:rFonts w:cs="Arial"/>
          <w:b/>
          <w:highlight w:val="yellow"/>
          <w:u w:val="single"/>
        </w:rPr>
      </w:pPr>
    </w:p>
    <w:p w14:paraId="248AD5A4" w14:textId="77777777" w:rsidR="00D10794" w:rsidRPr="00C529BF" w:rsidRDefault="00D10794" w:rsidP="00D10794">
      <w:pPr>
        <w:spacing w:after="0"/>
        <w:rPr>
          <w:rFonts w:cs="Arial"/>
          <w:b/>
          <w:highlight w:val="yellow"/>
          <w:u w:val="single"/>
        </w:rPr>
      </w:pPr>
    </w:p>
    <w:p w14:paraId="7D32AB7F" w14:textId="77777777" w:rsidR="00D10794" w:rsidRPr="00C529BF" w:rsidRDefault="00D10794" w:rsidP="00D10794">
      <w:pPr>
        <w:spacing w:after="0"/>
        <w:rPr>
          <w:rFonts w:cs="Arial"/>
          <w:b/>
          <w:highlight w:val="yellow"/>
          <w:u w:val="single"/>
        </w:rPr>
      </w:pPr>
    </w:p>
    <w:p w14:paraId="1BEA2CD0" w14:textId="77777777" w:rsidR="00D10794" w:rsidRPr="00C529BF" w:rsidRDefault="00D10794" w:rsidP="00D10794">
      <w:pPr>
        <w:spacing w:after="0"/>
        <w:rPr>
          <w:rFonts w:cs="Arial"/>
          <w:b/>
          <w:highlight w:val="yellow"/>
          <w:u w:val="single"/>
        </w:rPr>
      </w:pPr>
    </w:p>
    <w:p w14:paraId="01C5DCD7" w14:textId="77777777" w:rsidR="00D10794" w:rsidRPr="00C529BF" w:rsidRDefault="00D10794" w:rsidP="00D10794">
      <w:pPr>
        <w:rPr>
          <w:highlight w:val="yellow"/>
        </w:rPr>
      </w:pPr>
    </w:p>
    <w:p w14:paraId="1EB5DD34" w14:textId="77777777" w:rsidR="00D10794" w:rsidRPr="00C529BF" w:rsidRDefault="00D10794" w:rsidP="00D10794">
      <w:pPr>
        <w:spacing w:after="0"/>
        <w:rPr>
          <w:rFonts w:cs="Arial"/>
          <w:highlight w:val="yellow"/>
        </w:rPr>
      </w:pPr>
    </w:p>
    <w:p w14:paraId="41F3D71B" w14:textId="77777777" w:rsidR="00D10794" w:rsidRPr="00C529BF" w:rsidRDefault="00D10794" w:rsidP="00D10794">
      <w:pPr>
        <w:autoSpaceDE/>
        <w:autoSpaceDN/>
        <w:adjustRightInd/>
        <w:spacing w:after="0"/>
        <w:jc w:val="left"/>
        <w:rPr>
          <w:rFonts w:cs="Arial"/>
          <w:b/>
          <w:highlight w:val="yellow"/>
          <w:u w:val="single"/>
        </w:rPr>
      </w:pPr>
    </w:p>
    <w:p w14:paraId="428FEEAA" w14:textId="77777777" w:rsidR="00D10794" w:rsidRPr="00C529BF" w:rsidRDefault="00D10794" w:rsidP="00D10794">
      <w:pPr>
        <w:autoSpaceDE/>
        <w:autoSpaceDN/>
        <w:adjustRightInd/>
        <w:spacing w:after="0"/>
        <w:jc w:val="left"/>
        <w:rPr>
          <w:rFonts w:cs="Arial"/>
          <w:b/>
          <w:highlight w:val="yellow"/>
          <w:u w:val="single"/>
        </w:rPr>
      </w:pPr>
    </w:p>
    <w:p w14:paraId="26C3D104" w14:textId="77777777" w:rsidR="00D10794" w:rsidRPr="00C529BF" w:rsidRDefault="00D10794" w:rsidP="00D10794">
      <w:pPr>
        <w:autoSpaceDE/>
        <w:autoSpaceDN/>
        <w:adjustRightInd/>
        <w:spacing w:after="0"/>
        <w:jc w:val="left"/>
        <w:rPr>
          <w:rFonts w:cs="Arial"/>
          <w:b/>
          <w:highlight w:val="yellow"/>
          <w:u w:val="single"/>
        </w:rPr>
      </w:pPr>
    </w:p>
    <w:p w14:paraId="41365773" w14:textId="77777777" w:rsidR="00D10794" w:rsidRPr="00C529BF" w:rsidRDefault="00D10794" w:rsidP="00D10794">
      <w:pPr>
        <w:autoSpaceDE/>
        <w:autoSpaceDN/>
        <w:adjustRightInd/>
        <w:spacing w:after="0"/>
        <w:jc w:val="left"/>
        <w:rPr>
          <w:rFonts w:cs="Arial"/>
          <w:b/>
          <w:highlight w:val="yellow"/>
          <w:u w:val="single"/>
        </w:rPr>
      </w:pPr>
    </w:p>
    <w:p w14:paraId="5CC5BE2D" w14:textId="77777777" w:rsidR="00D10794" w:rsidRPr="00C529BF" w:rsidRDefault="00D10794" w:rsidP="00D10794">
      <w:pPr>
        <w:autoSpaceDE/>
        <w:autoSpaceDN/>
        <w:adjustRightInd/>
        <w:spacing w:after="0"/>
        <w:jc w:val="left"/>
        <w:rPr>
          <w:rFonts w:cs="Arial"/>
          <w:b/>
          <w:highlight w:val="yellow"/>
          <w:u w:val="single"/>
        </w:rPr>
      </w:pPr>
    </w:p>
    <w:p w14:paraId="291DB7AA" w14:textId="77777777" w:rsidR="00D10794" w:rsidRPr="00C529BF" w:rsidRDefault="00D10794" w:rsidP="00D10794">
      <w:pPr>
        <w:autoSpaceDE/>
        <w:autoSpaceDN/>
        <w:adjustRightInd/>
        <w:spacing w:after="0"/>
        <w:jc w:val="left"/>
        <w:rPr>
          <w:rFonts w:cs="Arial"/>
          <w:b/>
          <w:highlight w:val="yellow"/>
          <w:u w:val="single"/>
        </w:rPr>
      </w:pPr>
    </w:p>
    <w:p w14:paraId="741BBD23" w14:textId="77777777" w:rsidR="00D10794" w:rsidRPr="00C529BF" w:rsidRDefault="00D10794" w:rsidP="00D10794">
      <w:pPr>
        <w:autoSpaceDE/>
        <w:autoSpaceDN/>
        <w:adjustRightInd/>
        <w:spacing w:after="0"/>
        <w:jc w:val="left"/>
        <w:rPr>
          <w:rFonts w:cs="Arial"/>
          <w:b/>
          <w:highlight w:val="yellow"/>
          <w:u w:val="single"/>
        </w:rPr>
      </w:pPr>
    </w:p>
    <w:p w14:paraId="6733D362" w14:textId="77777777" w:rsidR="00D10794" w:rsidRPr="00C529BF" w:rsidRDefault="00D10794" w:rsidP="00D10794">
      <w:pPr>
        <w:autoSpaceDE/>
        <w:autoSpaceDN/>
        <w:adjustRightInd/>
        <w:spacing w:after="0"/>
        <w:jc w:val="left"/>
        <w:rPr>
          <w:rFonts w:cs="Arial"/>
          <w:b/>
          <w:highlight w:val="yellow"/>
          <w:u w:val="single"/>
        </w:rPr>
      </w:pPr>
    </w:p>
    <w:p w14:paraId="4A41578E" w14:textId="77777777" w:rsidR="00D10794" w:rsidRPr="00C529BF" w:rsidRDefault="00D10794" w:rsidP="00D10794">
      <w:pPr>
        <w:autoSpaceDE/>
        <w:autoSpaceDN/>
        <w:adjustRightInd/>
        <w:spacing w:after="0"/>
        <w:jc w:val="left"/>
        <w:rPr>
          <w:rFonts w:cs="Arial"/>
          <w:b/>
          <w:highlight w:val="yellow"/>
          <w:u w:val="single"/>
        </w:rPr>
      </w:pPr>
    </w:p>
    <w:p w14:paraId="47C8AD37" w14:textId="77777777" w:rsidR="00D10794" w:rsidRPr="00C529BF" w:rsidRDefault="00D10794" w:rsidP="00D10794">
      <w:pPr>
        <w:autoSpaceDE/>
        <w:autoSpaceDN/>
        <w:adjustRightInd/>
        <w:spacing w:after="0"/>
        <w:jc w:val="left"/>
        <w:rPr>
          <w:rFonts w:cs="Arial"/>
          <w:b/>
          <w:highlight w:val="yellow"/>
          <w:u w:val="single"/>
        </w:rPr>
      </w:pPr>
    </w:p>
    <w:p w14:paraId="78A9ED85" w14:textId="77777777" w:rsidR="00D10794" w:rsidRPr="00C529BF" w:rsidRDefault="00D10794" w:rsidP="00D10794">
      <w:pPr>
        <w:autoSpaceDE/>
        <w:autoSpaceDN/>
        <w:adjustRightInd/>
        <w:spacing w:after="0"/>
        <w:jc w:val="left"/>
        <w:rPr>
          <w:rFonts w:cs="Arial"/>
          <w:b/>
          <w:highlight w:val="yellow"/>
          <w:u w:val="single"/>
        </w:rPr>
      </w:pPr>
    </w:p>
    <w:p w14:paraId="2A09FFA7" w14:textId="77777777" w:rsidR="00D10794" w:rsidRPr="00C529BF" w:rsidRDefault="00D10794" w:rsidP="00D10794">
      <w:pPr>
        <w:autoSpaceDE/>
        <w:autoSpaceDN/>
        <w:adjustRightInd/>
        <w:spacing w:after="0"/>
        <w:jc w:val="left"/>
        <w:rPr>
          <w:rFonts w:cs="Arial"/>
          <w:b/>
          <w:highlight w:val="yellow"/>
          <w:u w:val="single"/>
        </w:rPr>
      </w:pPr>
    </w:p>
    <w:p w14:paraId="5CA178B7" w14:textId="77777777" w:rsidR="00D10794" w:rsidRDefault="00D10794" w:rsidP="00D10794">
      <w:pPr>
        <w:autoSpaceDE/>
        <w:autoSpaceDN/>
        <w:adjustRightInd/>
        <w:spacing w:after="0"/>
        <w:jc w:val="left"/>
        <w:rPr>
          <w:rFonts w:cs="Arial"/>
          <w:b/>
          <w:highlight w:val="yellow"/>
          <w:u w:val="single"/>
        </w:rPr>
      </w:pPr>
    </w:p>
    <w:p w14:paraId="39A0F686" w14:textId="77777777" w:rsidR="00D10794" w:rsidRDefault="00D10794" w:rsidP="00D10794">
      <w:pPr>
        <w:autoSpaceDE/>
        <w:autoSpaceDN/>
        <w:adjustRightInd/>
        <w:spacing w:after="0"/>
        <w:jc w:val="left"/>
        <w:rPr>
          <w:rFonts w:cs="Arial"/>
          <w:b/>
          <w:highlight w:val="yellow"/>
          <w:u w:val="single"/>
        </w:rPr>
      </w:pPr>
    </w:p>
    <w:p w14:paraId="6F1E37B0" w14:textId="77777777" w:rsidR="00D10794" w:rsidRDefault="00D10794" w:rsidP="00D10794">
      <w:pPr>
        <w:autoSpaceDE/>
        <w:autoSpaceDN/>
        <w:adjustRightInd/>
        <w:spacing w:after="0"/>
        <w:jc w:val="left"/>
        <w:rPr>
          <w:rFonts w:cs="Arial"/>
          <w:b/>
          <w:highlight w:val="yellow"/>
          <w:u w:val="single"/>
        </w:rPr>
      </w:pPr>
    </w:p>
    <w:p w14:paraId="754B3FF0" w14:textId="77777777" w:rsidR="00D10794" w:rsidRDefault="00D10794" w:rsidP="00D10794">
      <w:pPr>
        <w:autoSpaceDE/>
        <w:autoSpaceDN/>
        <w:adjustRightInd/>
        <w:spacing w:after="0"/>
        <w:jc w:val="left"/>
        <w:rPr>
          <w:rFonts w:cs="Arial"/>
          <w:b/>
          <w:highlight w:val="yellow"/>
          <w:u w:val="single"/>
        </w:rPr>
      </w:pPr>
    </w:p>
    <w:p w14:paraId="62E0D4B2" w14:textId="77777777" w:rsidR="00D10794" w:rsidRDefault="00D10794" w:rsidP="00D10794">
      <w:pPr>
        <w:autoSpaceDE/>
        <w:autoSpaceDN/>
        <w:adjustRightInd/>
        <w:spacing w:after="0"/>
        <w:jc w:val="left"/>
        <w:rPr>
          <w:rFonts w:cs="Arial"/>
          <w:b/>
          <w:highlight w:val="yellow"/>
          <w:u w:val="single"/>
        </w:rPr>
      </w:pPr>
    </w:p>
    <w:p w14:paraId="664C89E7" w14:textId="77777777" w:rsidR="00D10794" w:rsidRDefault="00D10794" w:rsidP="00D10794">
      <w:pPr>
        <w:autoSpaceDE/>
        <w:autoSpaceDN/>
        <w:adjustRightInd/>
        <w:spacing w:after="0"/>
        <w:jc w:val="left"/>
        <w:rPr>
          <w:rFonts w:cs="Arial"/>
          <w:b/>
          <w:highlight w:val="yellow"/>
          <w:u w:val="single"/>
        </w:rPr>
      </w:pPr>
    </w:p>
    <w:p w14:paraId="21534992" w14:textId="77777777" w:rsidR="00D10794" w:rsidRDefault="00D10794" w:rsidP="00D10794">
      <w:pPr>
        <w:autoSpaceDE/>
        <w:autoSpaceDN/>
        <w:adjustRightInd/>
        <w:spacing w:after="0"/>
        <w:jc w:val="left"/>
        <w:rPr>
          <w:rFonts w:cs="Arial"/>
          <w:b/>
          <w:highlight w:val="yellow"/>
          <w:u w:val="single"/>
        </w:rPr>
      </w:pPr>
    </w:p>
    <w:p w14:paraId="133A3A09" w14:textId="77777777" w:rsidR="00D10794" w:rsidRDefault="00D10794" w:rsidP="00D10794">
      <w:pPr>
        <w:autoSpaceDE/>
        <w:autoSpaceDN/>
        <w:adjustRightInd/>
        <w:spacing w:after="0"/>
        <w:jc w:val="left"/>
        <w:rPr>
          <w:rFonts w:cs="Arial"/>
          <w:b/>
          <w:highlight w:val="yellow"/>
          <w:u w:val="single"/>
        </w:rPr>
      </w:pPr>
    </w:p>
    <w:p w14:paraId="3BD13680" w14:textId="77777777" w:rsidR="00D10794" w:rsidRDefault="00D10794" w:rsidP="00D10794">
      <w:pPr>
        <w:autoSpaceDE/>
        <w:autoSpaceDN/>
        <w:adjustRightInd/>
        <w:spacing w:after="0"/>
        <w:jc w:val="left"/>
        <w:rPr>
          <w:rFonts w:cs="Arial"/>
          <w:b/>
          <w:highlight w:val="yellow"/>
          <w:u w:val="single"/>
        </w:rPr>
      </w:pPr>
    </w:p>
    <w:p w14:paraId="64248E0F" w14:textId="77777777" w:rsidR="00D10794" w:rsidRDefault="00D10794" w:rsidP="00D10794">
      <w:pPr>
        <w:autoSpaceDE/>
        <w:autoSpaceDN/>
        <w:adjustRightInd/>
        <w:spacing w:after="0"/>
        <w:jc w:val="left"/>
        <w:rPr>
          <w:rFonts w:cs="Arial"/>
          <w:b/>
          <w:highlight w:val="yellow"/>
          <w:u w:val="single"/>
        </w:rPr>
      </w:pPr>
    </w:p>
    <w:p w14:paraId="696AD32D" w14:textId="77777777" w:rsidR="00D10794" w:rsidRDefault="00D10794" w:rsidP="00D10794">
      <w:pPr>
        <w:autoSpaceDE/>
        <w:autoSpaceDN/>
        <w:adjustRightInd/>
        <w:spacing w:after="0"/>
        <w:jc w:val="left"/>
        <w:rPr>
          <w:rFonts w:cs="Arial"/>
          <w:b/>
          <w:highlight w:val="yellow"/>
          <w:u w:val="single"/>
        </w:rPr>
      </w:pPr>
    </w:p>
    <w:p w14:paraId="42345D9C" w14:textId="77777777" w:rsidR="00D10794" w:rsidRDefault="00D10794" w:rsidP="00D10794">
      <w:pPr>
        <w:autoSpaceDE/>
        <w:autoSpaceDN/>
        <w:adjustRightInd/>
        <w:spacing w:after="0"/>
        <w:jc w:val="left"/>
        <w:rPr>
          <w:rFonts w:cs="Arial"/>
          <w:b/>
          <w:highlight w:val="yellow"/>
          <w:u w:val="single"/>
        </w:rPr>
      </w:pPr>
    </w:p>
    <w:p w14:paraId="6DF7F19A" w14:textId="77777777" w:rsidR="00D10794" w:rsidRDefault="00D10794" w:rsidP="00D10794">
      <w:pPr>
        <w:autoSpaceDE/>
        <w:autoSpaceDN/>
        <w:adjustRightInd/>
        <w:spacing w:after="0"/>
        <w:jc w:val="left"/>
        <w:rPr>
          <w:rFonts w:cs="Arial"/>
          <w:b/>
          <w:highlight w:val="yellow"/>
          <w:u w:val="single"/>
        </w:rPr>
      </w:pPr>
    </w:p>
    <w:p w14:paraId="5BFC892B" w14:textId="77777777" w:rsidR="00D10794" w:rsidRDefault="00D10794" w:rsidP="00D10794">
      <w:pPr>
        <w:autoSpaceDE/>
        <w:autoSpaceDN/>
        <w:adjustRightInd/>
        <w:spacing w:after="0"/>
        <w:jc w:val="left"/>
        <w:rPr>
          <w:rFonts w:cs="Arial"/>
          <w:b/>
          <w:highlight w:val="yellow"/>
          <w:u w:val="single"/>
        </w:rPr>
      </w:pPr>
    </w:p>
    <w:p w14:paraId="022729F1" w14:textId="77777777" w:rsidR="00D10794" w:rsidRPr="00C529BF" w:rsidRDefault="00D10794" w:rsidP="00D10794">
      <w:pPr>
        <w:autoSpaceDE/>
        <w:autoSpaceDN/>
        <w:adjustRightInd/>
        <w:spacing w:after="0"/>
        <w:jc w:val="left"/>
        <w:rPr>
          <w:rFonts w:cs="Arial"/>
          <w:b/>
          <w:highlight w:val="yellow"/>
          <w:u w:val="single"/>
        </w:rPr>
      </w:pPr>
    </w:p>
    <w:p w14:paraId="3380A492" w14:textId="77777777" w:rsidR="00D10794" w:rsidRPr="009F5760" w:rsidRDefault="00D10794" w:rsidP="00D10794">
      <w:pPr>
        <w:autoSpaceDE/>
        <w:autoSpaceDN/>
        <w:adjustRightInd/>
        <w:spacing w:after="0"/>
        <w:jc w:val="left"/>
        <w:rPr>
          <w:rFonts w:eastAsia="Times New Roman" w:cs="Arial"/>
          <w:b/>
          <w:lang w:eastAsia="en-GB"/>
        </w:rPr>
      </w:pPr>
      <w:r w:rsidRPr="009F5760">
        <w:rPr>
          <w:rFonts w:cs="Arial"/>
          <w:b/>
        </w:rPr>
        <w:lastRenderedPageBreak/>
        <w:t xml:space="preserve">3.4 </w:t>
      </w:r>
      <w:r w:rsidRPr="009F5760">
        <w:rPr>
          <w:rFonts w:cs="Arial"/>
          <w:b/>
        </w:rPr>
        <w:tab/>
        <w:t xml:space="preserve">Education and </w:t>
      </w:r>
      <w:r w:rsidRPr="009F5760">
        <w:rPr>
          <w:rFonts w:eastAsia="Times New Roman" w:cs="Arial"/>
          <w:b/>
          <w:lang w:eastAsia="en-GB"/>
        </w:rPr>
        <w:t xml:space="preserve">Children's Services </w:t>
      </w:r>
    </w:p>
    <w:p w14:paraId="69363A59" w14:textId="77777777" w:rsidR="00D10794" w:rsidRPr="00C529BF" w:rsidRDefault="00D10794" w:rsidP="00D10794">
      <w:pPr>
        <w:tabs>
          <w:tab w:val="left" w:pos="0"/>
          <w:tab w:val="left" w:pos="1418"/>
        </w:tabs>
        <w:contextualSpacing/>
        <w:rPr>
          <w:rFonts w:cs="Arial"/>
          <w:highlight w:val="yellow"/>
        </w:rPr>
      </w:pPr>
    </w:p>
    <w:tbl>
      <w:tblPr>
        <w:tblW w:w="9307" w:type="dxa"/>
        <w:tblLook w:val="04A0" w:firstRow="1" w:lastRow="0" w:firstColumn="1" w:lastColumn="0" w:noHBand="0" w:noVBand="1"/>
      </w:tblPr>
      <w:tblGrid>
        <w:gridCol w:w="3695"/>
        <w:gridCol w:w="1201"/>
        <w:gridCol w:w="1102"/>
        <w:gridCol w:w="1117"/>
        <w:gridCol w:w="1096"/>
        <w:gridCol w:w="1096"/>
      </w:tblGrid>
      <w:tr w:rsidR="002F12B1" w14:paraId="7A576F59" w14:textId="77777777" w:rsidTr="00D10794">
        <w:trPr>
          <w:trHeight w:val="791"/>
        </w:trPr>
        <w:tc>
          <w:tcPr>
            <w:tcW w:w="3695" w:type="dxa"/>
            <w:tcBorders>
              <w:top w:val="single" w:sz="4" w:space="0" w:color="auto"/>
              <w:left w:val="single" w:sz="4" w:space="0" w:color="auto"/>
              <w:bottom w:val="nil"/>
              <w:right w:val="single" w:sz="4" w:space="0" w:color="auto"/>
            </w:tcBorders>
            <w:shd w:val="clear" w:color="000000" w:fill="D9D9D9"/>
            <w:vAlign w:val="center"/>
            <w:hideMark/>
          </w:tcPr>
          <w:p w14:paraId="606959D9" w14:textId="4A5C1A07" w:rsidR="00D10794" w:rsidRPr="009F5760" w:rsidRDefault="00D10794" w:rsidP="00D10794">
            <w:pPr>
              <w:autoSpaceDE/>
              <w:autoSpaceDN/>
              <w:adjustRightInd/>
              <w:spacing w:after="0"/>
              <w:jc w:val="center"/>
              <w:rPr>
                <w:rFonts w:eastAsia="Times New Roman" w:cs="Arial"/>
                <w:b/>
                <w:bCs/>
                <w:sz w:val="20"/>
                <w:szCs w:val="20"/>
                <w:lang w:eastAsia="en-GB"/>
              </w:rPr>
            </w:pPr>
          </w:p>
        </w:tc>
        <w:tc>
          <w:tcPr>
            <w:tcW w:w="1201" w:type="dxa"/>
            <w:tcBorders>
              <w:top w:val="single" w:sz="4" w:space="0" w:color="auto"/>
              <w:left w:val="nil"/>
              <w:bottom w:val="single" w:sz="4" w:space="0" w:color="auto"/>
              <w:right w:val="single" w:sz="4" w:space="0" w:color="auto"/>
            </w:tcBorders>
            <w:shd w:val="clear" w:color="000000" w:fill="D9D9D9"/>
            <w:vAlign w:val="center"/>
            <w:hideMark/>
          </w:tcPr>
          <w:p w14:paraId="44A8BAC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Approved Net Budget </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1812B2DF"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xml:space="preserve">Net Outturn </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2064E68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59ECE13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Net Outturn Variance</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6F891E2C"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Q3 Forecast Variance</w:t>
            </w:r>
          </w:p>
        </w:tc>
      </w:tr>
      <w:tr w:rsidR="002F12B1" w14:paraId="60699BA1"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0757A2CB"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 </w:t>
            </w:r>
          </w:p>
        </w:tc>
        <w:tc>
          <w:tcPr>
            <w:tcW w:w="1201" w:type="dxa"/>
            <w:tcBorders>
              <w:top w:val="nil"/>
              <w:left w:val="nil"/>
              <w:bottom w:val="single" w:sz="4" w:space="0" w:color="auto"/>
              <w:right w:val="single" w:sz="4" w:space="0" w:color="auto"/>
            </w:tcBorders>
            <w:shd w:val="clear" w:color="000000" w:fill="D9D9D9"/>
            <w:vAlign w:val="center"/>
            <w:hideMark/>
          </w:tcPr>
          <w:p w14:paraId="480D0A28"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102" w:type="dxa"/>
            <w:tcBorders>
              <w:top w:val="nil"/>
              <w:left w:val="nil"/>
              <w:bottom w:val="single" w:sz="4" w:space="0" w:color="auto"/>
              <w:right w:val="single" w:sz="4" w:space="0" w:color="auto"/>
            </w:tcBorders>
            <w:shd w:val="clear" w:color="000000" w:fill="D9D9D9"/>
            <w:vAlign w:val="center"/>
            <w:hideMark/>
          </w:tcPr>
          <w:p w14:paraId="374B7427"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117" w:type="dxa"/>
            <w:tcBorders>
              <w:top w:val="nil"/>
              <w:left w:val="nil"/>
              <w:bottom w:val="single" w:sz="4" w:space="0" w:color="auto"/>
              <w:right w:val="single" w:sz="4" w:space="0" w:color="auto"/>
            </w:tcBorders>
            <w:shd w:val="clear" w:color="000000" w:fill="D9D9D9"/>
            <w:vAlign w:val="center"/>
            <w:hideMark/>
          </w:tcPr>
          <w:p w14:paraId="64B3CAEA"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c>
          <w:tcPr>
            <w:tcW w:w="1096" w:type="dxa"/>
            <w:tcBorders>
              <w:top w:val="nil"/>
              <w:left w:val="nil"/>
              <w:bottom w:val="single" w:sz="4" w:space="0" w:color="auto"/>
              <w:right w:val="single" w:sz="4" w:space="0" w:color="auto"/>
            </w:tcBorders>
            <w:shd w:val="clear" w:color="000000" w:fill="D9D9D9"/>
            <w:vAlign w:val="center"/>
            <w:hideMark/>
          </w:tcPr>
          <w:p w14:paraId="607C6F89"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w:t>
            </w:r>
          </w:p>
        </w:tc>
        <w:tc>
          <w:tcPr>
            <w:tcW w:w="1096" w:type="dxa"/>
            <w:tcBorders>
              <w:top w:val="nil"/>
              <w:left w:val="nil"/>
              <w:bottom w:val="single" w:sz="4" w:space="0" w:color="auto"/>
              <w:right w:val="single" w:sz="4" w:space="0" w:color="auto"/>
            </w:tcBorders>
            <w:shd w:val="clear" w:color="000000" w:fill="D9D9D9"/>
            <w:vAlign w:val="center"/>
            <w:hideMark/>
          </w:tcPr>
          <w:p w14:paraId="20CFD6A1" w14:textId="77777777" w:rsidR="00D10794" w:rsidRPr="009F5760" w:rsidRDefault="00D10794" w:rsidP="00D10794">
            <w:pPr>
              <w:autoSpaceDE/>
              <w:autoSpaceDN/>
              <w:adjustRightInd/>
              <w:spacing w:after="0"/>
              <w:jc w:val="center"/>
              <w:rPr>
                <w:rFonts w:eastAsia="Times New Roman" w:cs="Arial"/>
                <w:b/>
                <w:bCs/>
                <w:sz w:val="20"/>
                <w:szCs w:val="20"/>
                <w:lang w:eastAsia="en-GB"/>
              </w:rPr>
            </w:pPr>
            <w:r w:rsidRPr="009F5760">
              <w:rPr>
                <w:rFonts w:eastAsia="Times New Roman" w:cs="Arial"/>
                <w:b/>
                <w:bCs/>
                <w:sz w:val="20"/>
                <w:szCs w:val="20"/>
                <w:lang w:eastAsia="en-GB"/>
              </w:rPr>
              <w:t>£m</w:t>
            </w:r>
          </w:p>
        </w:tc>
      </w:tr>
      <w:tr w:rsidR="002F12B1" w14:paraId="340A82C0"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4E8451B8"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Children Social Care Localities</w:t>
            </w:r>
          </w:p>
        </w:tc>
        <w:tc>
          <w:tcPr>
            <w:tcW w:w="1201" w:type="dxa"/>
            <w:tcBorders>
              <w:top w:val="nil"/>
              <w:left w:val="nil"/>
              <w:bottom w:val="single" w:sz="4" w:space="0" w:color="auto"/>
              <w:right w:val="single" w:sz="4" w:space="0" w:color="auto"/>
            </w:tcBorders>
            <w:shd w:val="clear" w:color="auto" w:fill="auto"/>
            <w:vAlign w:val="center"/>
            <w:hideMark/>
          </w:tcPr>
          <w:p w14:paraId="453FDEB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105.236</w:t>
            </w:r>
          </w:p>
        </w:tc>
        <w:tc>
          <w:tcPr>
            <w:tcW w:w="1102" w:type="dxa"/>
            <w:tcBorders>
              <w:top w:val="nil"/>
              <w:left w:val="nil"/>
              <w:bottom w:val="single" w:sz="4" w:space="0" w:color="auto"/>
              <w:right w:val="single" w:sz="4" w:space="0" w:color="auto"/>
            </w:tcBorders>
            <w:shd w:val="clear" w:color="auto" w:fill="auto"/>
            <w:vAlign w:val="center"/>
            <w:hideMark/>
          </w:tcPr>
          <w:p w14:paraId="3E4F779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107.832</w:t>
            </w:r>
          </w:p>
        </w:tc>
        <w:tc>
          <w:tcPr>
            <w:tcW w:w="1117" w:type="dxa"/>
            <w:tcBorders>
              <w:top w:val="nil"/>
              <w:left w:val="nil"/>
              <w:bottom w:val="single" w:sz="4" w:space="0" w:color="auto"/>
              <w:right w:val="single" w:sz="4" w:space="0" w:color="auto"/>
            </w:tcBorders>
            <w:shd w:val="clear" w:color="000000" w:fill="D9D9D9"/>
            <w:vAlign w:val="center"/>
            <w:hideMark/>
          </w:tcPr>
          <w:p w14:paraId="09AB60F4"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2.596</w:t>
            </w:r>
          </w:p>
        </w:tc>
        <w:tc>
          <w:tcPr>
            <w:tcW w:w="1096" w:type="dxa"/>
            <w:tcBorders>
              <w:top w:val="nil"/>
              <w:left w:val="nil"/>
              <w:bottom w:val="single" w:sz="4" w:space="0" w:color="auto"/>
              <w:right w:val="single" w:sz="4" w:space="0" w:color="auto"/>
            </w:tcBorders>
            <w:shd w:val="clear" w:color="auto" w:fill="auto"/>
            <w:vAlign w:val="center"/>
            <w:hideMark/>
          </w:tcPr>
          <w:p w14:paraId="0EB3319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2.47%</w:t>
            </w:r>
          </w:p>
        </w:tc>
        <w:tc>
          <w:tcPr>
            <w:tcW w:w="1096" w:type="dxa"/>
            <w:tcBorders>
              <w:top w:val="nil"/>
              <w:left w:val="nil"/>
              <w:bottom w:val="single" w:sz="4" w:space="0" w:color="auto"/>
              <w:right w:val="single" w:sz="4" w:space="0" w:color="auto"/>
            </w:tcBorders>
            <w:shd w:val="clear" w:color="000000" w:fill="D9D9D9"/>
            <w:vAlign w:val="center"/>
            <w:hideMark/>
          </w:tcPr>
          <w:p w14:paraId="0B82CD4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7.151</w:t>
            </w:r>
          </w:p>
        </w:tc>
      </w:tr>
      <w:tr w:rsidR="002F12B1" w14:paraId="415E8CF9"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1246C4B0"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Fostering Adoption Residential and YOT</w:t>
            </w:r>
          </w:p>
        </w:tc>
        <w:tc>
          <w:tcPr>
            <w:tcW w:w="1201" w:type="dxa"/>
            <w:tcBorders>
              <w:top w:val="nil"/>
              <w:left w:val="nil"/>
              <w:bottom w:val="single" w:sz="4" w:space="0" w:color="auto"/>
              <w:right w:val="single" w:sz="4" w:space="0" w:color="auto"/>
            </w:tcBorders>
            <w:shd w:val="clear" w:color="auto" w:fill="auto"/>
            <w:vAlign w:val="center"/>
            <w:hideMark/>
          </w:tcPr>
          <w:p w14:paraId="3FF44B9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33.089</w:t>
            </w:r>
          </w:p>
        </w:tc>
        <w:tc>
          <w:tcPr>
            <w:tcW w:w="1102" w:type="dxa"/>
            <w:tcBorders>
              <w:top w:val="nil"/>
              <w:left w:val="nil"/>
              <w:bottom w:val="single" w:sz="4" w:space="0" w:color="auto"/>
              <w:right w:val="single" w:sz="4" w:space="0" w:color="auto"/>
            </w:tcBorders>
            <w:shd w:val="clear" w:color="auto" w:fill="auto"/>
            <w:vAlign w:val="center"/>
            <w:hideMark/>
          </w:tcPr>
          <w:p w14:paraId="1A0577F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33.138</w:t>
            </w:r>
          </w:p>
        </w:tc>
        <w:tc>
          <w:tcPr>
            <w:tcW w:w="1117" w:type="dxa"/>
            <w:tcBorders>
              <w:top w:val="nil"/>
              <w:left w:val="nil"/>
              <w:bottom w:val="single" w:sz="4" w:space="0" w:color="auto"/>
              <w:right w:val="single" w:sz="4" w:space="0" w:color="auto"/>
            </w:tcBorders>
            <w:shd w:val="clear" w:color="000000" w:fill="D9D9D9"/>
            <w:vAlign w:val="center"/>
            <w:hideMark/>
          </w:tcPr>
          <w:p w14:paraId="5ED70AF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0.049</w:t>
            </w:r>
          </w:p>
        </w:tc>
        <w:tc>
          <w:tcPr>
            <w:tcW w:w="1096" w:type="dxa"/>
            <w:tcBorders>
              <w:top w:val="nil"/>
              <w:left w:val="nil"/>
              <w:bottom w:val="single" w:sz="4" w:space="0" w:color="auto"/>
              <w:right w:val="single" w:sz="4" w:space="0" w:color="auto"/>
            </w:tcBorders>
            <w:shd w:val="clear" w:color="auto" w:fill="auto"/>
            <w:vAlign w:val="center"/>
            <w:hideMark/>
          </w:tcPr>
          <w:p w14:paraId="7ACCFC0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0.15%</w:t>
            </w:r>
          </w:p>
        </w:tc>
        <w:tc>
          <w:tcPr>
            <w:tcW w:w="1096" w:type="dxa"/>
            <w:tcBorders>
              <w:top w:val="nil"/>
              <w:left w:val="nil"/>
              <w:bottom w:val="single" w:sz="4" w:space="0" w:color="auto"/>
              <w:right w:val="single" w:sz="4" w:space="0" w:color="auto"/>
            </w:tcBorders>
            <w:shd w:val="clear" w:color="000000" w:fill="D9D9D9"/>
            <w:vAlign w:val="center"/>
            <w:hideMark/>
          </w:tcPr>
          <w:p w14:paraId="24ED5EE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0.850</w:t>
            </w:r>
          </w:p>
        </w:tc>
      </w:tr>
      <w:tr w:rsidR="002F12B1" w14:paraId="2EAAAD8C"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BFBFBF"/>
            <w:vAlign w:val="center"/>
            <w:hideMark/>
          </w:tcPr>
          <w:p w14:paraId="63530A1E"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CSC</w:t>
            </w:r>
          </w:p>
        </w:tc>
        <w:tc>
          <w:tcPr>
            <w:tcW w:w="1201" w:type="dxa"/>
            <w:tcBorders>
              <w:top w:val="nil"/>
              <w:left w:val="nil"/>
              <w:bottom w:val="single" w:sz="4" w:space="0" w:color="auto"/>
              <w:right w:val="single" w:sz="4" w:space="0" w:color="auto"/>
            </w:tcBorders>
            <w:shd w:val="clear" w:color="000000" w:fill="BFBFBF"/>
            <w:vAlign w:val="center"/>
            <w:hideMark/>
          </w:tcPr>
          <w:p w14:paraId="03B7FCB1"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138.325</w:t>
            </w:r>
          </w:p>
        </w:tc>
        <w:tc>
          <w:tcPr>
            <w:tcW w:w="1102" w:type="dxa"/>
            <w:tcBorders>
              <w:top w:val="nil"/>
              <w:left w:val="nil"/>
              <w:bottom w:val="single" w:sz="4" w:space="0" w:color="auto"/>
              <w:right w:val="single" w:sz="4" w:space="0" w:color="auto"/>
            </w:tcBorders>
            <w:shd w:val="clear" w:color="000000" w:fill="BFBFBF"/>
            <w:vAlign w:val="center"/>
            <w:hideMark/>
          </w:tcPr>
          <w:p w14:paraId="4465B2F8"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140.970</w:t>
            </w:r>
          </w:p>
        </w:tc>
        <w:tc>
          <w:tcPr>
            <w:tcW w:w="1117" w:type="dxa"/>
            <w:tcBorders>
              <w:top w:val="nil"/>
              <w:left w:val="nil"/>
              <w:bottom w:val="single" w:sz="4" w:space="0" w:color="auto"/>
              <w:right w:val="single" w:sz="4" w:space="0" w:color="auto"/>
            </w:tcBorders>
            <w:shd w:val="clear" w:color="000000" w:fill="BFBFBF"/>
            <w:vAlign w:val="center"/>
            <w:hideMark/>
          </w:tcPr>
          <w:p w14:paraId="0C8FB56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2.645</w:t>
            </w:r>
          </w:p>
        </w:tc>
        <w:tc>
          <w:tcPr>
            <w:tcW w:w="1096" w:type="dxa"/>
            <w:tcBorders>
              <w:top w:val="nil"/>
              <w:left w:val="nil"/>
              <w:bottom w:val="single" w:sz="4" w:space="0" w:color="auto"/>
              <w:right w:val="single" w:sz="4" w:space="0" w:color="auto"/>
            </w:tcBorders>
            <w:shd w:val="clear" w:color="000000" w:fill="BFBFBF"/>
            <w:vAlign w:val="center"/>
            <w:hideMark/>
          </w:tcPr>
          <w:p w14:paraId="002FEE91"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1.91%</w:t>
            </w:r>
          </w:p>
        </w:tc>
        <w:tc>
          <w:tcPr>
            <w:tcW w:w="1096" w:type="dxa"/>
            <w:tcBorders>
              <w:top w:val="nil"/>
              <w:left w:val="nil"/>
              <w:bottom w:val="single" w:sz="4" w:space="0" w:color="auto"/>
              <w:right w:val="single" w:sz="4" w:space="0" w:color="auto"/>
            </w:tcBorders>
            <w:shd w:val="clear" w:color="000000" w:fill="BFBFBF"/>
            <w:vAlign w:val="center"/>
            <w:hideMark/>
          </w:tcPr>
          <w:p w14:paraId="49DFED98"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8.001</w:t>
            </w:r>
          </w:p>
        </w:tc>
      </w:tr>
      <w:tr w:rsidR="002F12B1" w14:paraId="24326149"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64D0A71A"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Children and Family Wellbeing Service</w:t>
            </w:r>
          </w:p>
        </w:tc>
        <w:tc>
          <w:tcPr>
            <w:tcW w:w="1201" w:type="dxa"/>
            <w:tcBorders>
              <w:top w:val="nil"/>
              <w:left w:val="nil"/>
              <w:bottom w:val="single" w:sz="4" w:space="0" w:color="auto"/>
              <w:right w:val="single" w:sz="4" w:space="0" w:color="auto"/>
            </w:tcBorders>
            <w:shd w:val="clear" w:color="auto" w:fill="auto"/>
            <w:vAlign w:val="center"/>
            <w:hideMark/>
          </w:tcPr>
          <w:p w14:paraId="33A7891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15.258</w:t>
            </w:r>
          </w:p>
        </w:tc>
        <w:tc>
          <w:tcPr>
            <w:tcW w:w="1102" w:type="dxa"/>
            <w:tcBorders>
              <w:top w:val="nil"/>
              <w:left w:val="nil"/>
              <w:bottom w:val="single" w:sz="4" w:space="0" w:color="auto"/>
              <w:right w:val="single" w:sz="4" w:space="0" w:color="auto"/>
            </w:tcBorders>
            <w:shd w:val="clear" w:color="auto" w:fill="auto"/>
            <w:vAlign w:val="center"/>
            <w:hideMark/>
          </w:tcPr>
          <w:p w14:paraId="3D42AF0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14.623</w:t>
            </w:r>
          </w:p>
        </w:tc>
        <w:tc>
          <w:tcPr>
            <w:tcW w:w="1117" w:type="dxa"/>
            <w:tcBorders>
              <w:top w:val="nil"/>
              <w:left w:val="nil"/>
              <w:bottom w:val="single" w:sz="4" w:space="0" w:color="auto"/>
              <w:right w:val="single" w:sz="4" w:space="0" w:color="auto"/>
            </w:tcBorders>
            <w:shd w:val="clear" w:color="000000" w:fill="D9D9D9"/>
            <w:vAlign w:val="center"/>
            <w:hideMark/>
          </w:tcPr>
          <w:p w14:paraId="4241E64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-0.635</w:t>
            </w:r>
          </w:p>
        </w:tc>
        <w:tc>
          <w:tcPr>
            <w:tcW w:w="1096" w:type="dxa"/>
            <w:tcBorders>
              <w:top w:val="nil"/>
              <w:left w:val="nil"/>
              <w:bottom w:val="single" w:sz="4" w:space="0" w:color="auto"/>
              <w:right w:val="single" w:sz="4" w:space="0" w:color="auto"/>
            </w:tcBorders>
            <w:shd w:val="clear" w:color="auto" w:fill="auto"/>
            <w:vAlign w:val="center"/>
            <w:hideMark/>
          </w:tcPr>
          <w:p w14:paraId="752B1A5C"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-4.16%</w:t>
            </w:r>
          </w:p>
        </w:tc>
        <w:tc>
          <w:tcPr>
            <w:tcW w:w="1096" w:type="dxa"/>
            <w:tcBorders>
              <w:top w:val="nil"/>
              <w:left w:val="nil"/>
              <w:bottom w:val="single" w:sz="4" w:space="0" w:color="auto"/>
              <w:right w:val="single" w:sz="4" w:space="0" w:color="auto"/>
            </w:tcBorders>
            <w:shd w:val="clear" w:color="000000" w:fill="D9D9D9"/>
            <w:vAlign w:val="center"/>
            <w:hideMark/>
          </w:tcPr>
          <w:p w14:paraId="119F37F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-1.849</w:t>
            </w:r>
          </w:p>
        </w:tc>
      </w:tr>
      <w:tr w:rsidR="002F12B1" w14:paraId="647B618B" w14:textId="77777777" w:rsidTr="00D10794">
        <w:trPr>
          <w:trHeight w:val="527"/>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3BCAF899"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Education Improvement 0 - 11 Years And 11+ To 25 Combined</w:t>
            </w:r>
          </w:p>
        </w:tc>
        <w:tc>
          <w:tcPr>
            <w:tcW w:w="1201" w:type="dxa"/>
            <w:tcBorders>
              <w:top w:val="nil"/>
              <w:left w:val="nil"/>
              <w:bottom w:val="single" w:sz="4" w:space="0" w:color="auto"/>
              <w:right w:val="single" w:sz="4" w:space="0" w:color="auto"/>
            </w:tcBorders>
            <w:shd w:val="clear" w:color="auto" w:fill="auto"/>
            <w:vAlign w:val="center"/>
            <w:hideMark/>
          </w:tcPr>
          <w:p w14:paraId="74AFDF9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3.837</w:t>
            </w:r>
          </w:p>
        </w:tc>
        <w:tc>
          <w:tcPr>
            <w:tcW w:w="1102" w:type="dxa"/>
            <w:tcBorders>
              <w:top w:val="nil"/>
              <w:left w:val="nil"/>
              <w:bottom w:val="single" w:sz="4" w:space="0" w:color="auto"/>
              <w:right w:val="single" w:sz="4" w:space="0" w:color="auto"/>
            </w:tcBorders>
            <w:shd w:val="clear" w:color="auto" w:fill="auto"/>
            <w:vAlign w:val="center"/>
            <w:hideMark/>
          </w:tcPr>
          <w:p w14:paraId="1A20C3A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4.509</w:t>
            </w:r>
          </w:p>
        </w:tc>
        <w:tc>
          <w:tcPr>
            <w:tcW w:w="1117" w:type="dxa"/>
            <w:tcBorders>
              <w:top w:val="nil"/>
              <w:left w:val="nil"/>
              <w:bottom w:val="single" w:sz="4" w:space="0" w:color="auto"/>
              <w:right w:val="single" w:sz="4" w:space="0" w:color="auto"/>
            </w:tcBorders>
            <w:shd w:val="clear" w:color="000000" w:fill="D9D9D9"/>
            <w:vAlign w:val="center"/>
            <w:hideMark/>
          </w:tcPr>
          <w:p w14:paraId="75FE887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0.672</w:t>
            </w:r>
          </w:p>
        </w:tc>
        <w:tc>
          <w:tcPr>
            <w:tcW w:w="1096" w:type="dxa"/>
            <w:tcBorders>
              <w:top w:val="nil"/>
              <w:left w:val="nil"/>
              <w:bottom w:val="single" w:sz="4" w:space="0" w:color="auto"/>
              <w:right w:val="single" w:sz="4" w:space="0" w:color="auto"/>
            </w:tcBorders>
            <w:shd w:val="clear" w:color="auto" w:fill="auto"/>
            <w:vAlign w:val="center"/>
            <w:hideMark/>
          </w:tcPr>
          <w:p w14:paraId="40C5991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17.51%</w:t>
            </w:r>
          </w:p>
        </w:tc>
        <w:tc>
          <w:tcPr>
            <w:tcW w:w="1096" w:type="dxa"/>
            <w:tcBorders>
              <w:top w:val="nil"/>
              <w:left w:val="nil"/>
              <w:bottom w:val="single" w:sz="4" w:space="0" w:color="auto"/>
              <w:right w:val="single" w:sz="4" w:space="0" w:color="auto"/>
            </w:tcBorders>
            <w:shd w:val="clear" w:color="000000" w:fill="D9D9D9"/>
            <w:vAlign w:val="center"/>
            <w:hideMark/>
          </w:tcPr>
          <w:p w14:paraId="778FD8C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2.396</w:t>
            </w:r>
          </w:p>
        </w:tc>
      </w:tr>
      <w:tr w:rsidR="002F12B1" w14:paraId="77AB97F0"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6C59EE08"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Inclusion</w:t>
            </w:r>
          </w:p>
        </w:tc>
        <w:tc>
          <w:tcPr>
            <w:tcW w:w="1201" w:type="dxa"/>
            <w:tcBorders>
              <w:top w:val="nil"/>
              <w:left w:val="nil"/>
              <w:bottom w:val="single" w:sz="4" w:space="0" w:color="auto"/>
              <w:right w:val="single" w:sz="4" w:space="0" w:color="auto"/>
            </w:tcBorders>
            <w:shd w:val="clear" w:color="auto" w:fill="auto"/>
            <w:vAlign w:val="center"/>
            <w:hideMark/>
          </w:tcPr>
          <w:p w14:paraId="510D8F4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19.276</w:t>
            </w:r>
          </w:p>
        </w:tc>
        <w:tc>
          <w:tcPr>
            <w:tcW w:w="1102" w:type="dxa"/>
            <w:tcBorders>
              <w:top w:val="nil"/>
              <w:left w:val="nil"/>
              <w:bottom w:val="single" w:sz="4" w:space="0" w:color="auto"/>
              <w:right w:val="single" w:sz="4" w:space="0" w:color="auto"/>
            </w:tcBorders>
            <w:shd w:val="clear" w:color="auto" w:fill="auto"/>
            <w:vAlign w:val="center"/>
            <w:hideMark/>
          </w:tcPr>
          <w:p w14:paraId="103DB59D"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18.891</w:t>
            </w:r>
          </w:p>
        </w:tc>
        <w:tc>
          <w:tcPr>
            <w:tcW w:w="1117" w:type="dxa"/>
            <w:tcBorders>
              <w:top w:val="nil"/>
              <w:left w:val="nil"/>
              <w:bottom w:val="single" w:sz="4" w:space="0" w:color="auto"/>
              <w:right w:val="single" w:sz="4" w:space="0" w:color="auto"/>
            </w:tcBorders>
            <w:shd w:val="clear" w:color="000000" w:fill="D9D9D9"/>
            <w:vAlign w:val="center"/>
            <w:hideMark/>
          </w:tcPr>
          <w:p w14:paraId="2A6D0B5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-0.385</w:t>
            </w:r>
          </w:p>
        </w:tc>
        <w:tc>
          <w:tcPr>
            <w:tcW w:w="1096" w:type="dxa"/>
            <w:tcBorders>
              <w:top w:val="nil"/>
              <w:left w:val="nil"/>
              <w:bottom w:val="single" w:sz="4" w:space="0" w:color="auto"/>
              <w:right w:val="single" w:sz="4" w:space="0" w:color="auto"/>
            </w:tcBorders>
            <w:shd w:val="clear" w:color="auto" w:fill="auto"/>
            <w:vAlign w:val="center"/>
            <w:hideMark/>
          </w:tcPr>
          <w:p w14:paraId="345826F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-2.00%</w:t>
            </w:r>
          </w:p>
        </w:tc>
        <w:tc>
          <w:tcPr>
            <w:tcW w:w="1096" w:type="dxa"/>
            <w:tcBorders>
              <w:top w:val="nil"/>
              <w:left w:val="nil"/>
              <w:bottom w:val="single" w:sz="4" w:space="0" w:color="auto"/>
              <w:right w:val="single" w:sz="4" w:space="0" w:color="auto"/>
            </w:tcBorders>
            <w:shd w:val="clear" w:color="000000" w:fill="D9D9D9"/>
            <w:vAlign w:val="center"/>
            <w:hideMark/>
          </w:tcPr>
          <w:p w14:paraId="34DC04A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-0.169</w:t>
            </w:r>
          </w:p>
        </w:tc>
      </w:tr>
      <w:tr w:rsidR="002F12B1" w14:paraId="10FAAEC1"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0CF0DC82"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Libraries Museums Culture &amp; Archives</w:t>
            </w:r>
          </w:p>
        </w:tc>
        <w:tc>
          <w:tcPr>
            <w:tcW w:w="1201" w:type="dxa"/>
            <w:tcBorders>
              <w:top w:val="nil"/>
              <w:left w:val="nil"/>
              <w:bottom w:val="single" w:sz="4" w:space="0" w:color="auto"/>
              <w:right w:val="single" w:sz="4" w:space="0" w:color="auto"/>
            </w:tcBorders>
            <w:shd w:val="clear" w:color="auto" w:fill="auto"/>
            <w:vAlign w:val="center"/>
            <w:hideMark/>
          </w:tcPr>
          <w:p w14:paraId="0F4826B2"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10.120</w:t>
            </w:r>
          </w:p>
        </w:tc>
        <w:tc>
          <w:tcPr>
            <w:tcW w:w="1102" w:type="dxa"/>
            <w:tcBorders>
              <w:top w:val="nil"/>
              <w:left w:val="nil"/>
              <w:bottom w:val="single" w:sz="4" w:space="0" w:color="auto"/>
              <w:right w:val="single" w:sz="4" w:space="0" w:color="auto"/>
            </w:tcBorders>
            <w:shd w:val="clear" w:color="auto" w:fill="auto"/>
            <w:vAlign w:val="center"/>
            <w:hideMark/>
          </w:tcPr>
          <w:p w14:paraId="5E01285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10.444</w:t>
            </w:r>
          </w:p>
        </w:tc>
        <w:tc>
          <w:tcPr>
            <w:tcW w:w="1117" w:type="dxa"/>
            <w:tcBorders>
              <w:top w:val="nil"/>
              <w:left w:val="nil"/>
              <w:bottom w:val="single" w:sz="4" w:space="0" w:color="auto"/>
              <w:right w:val="single" w:sz="4" w:space="0" w:color="auto"/>
            </w:tcBorders>
            <w:shd w:val="clear" w:color="000000" w:fill="D9D9D9"/>
            <w:vAlign w:val="center"/>
            <w:hideMark/>
          </w:tcPr>
          <w:p w14:paraId="6D7696B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0.324</w:t>
            </w:r>
          </w:p>
        </w:tc>
        <w:tc>
          <w:tcPr>
            <w:tcW w:w="1096" w:type="dxa"/>
            <w:tcBorders>
              <w:top w:val="nil"/>
              <w:left w:val="nil"/>
              <w:bottom w:val="single" w:sz="4" w:space="0" w:color="auto"/>
              <w:right w:val="single" w:sz="4" w:space="0" w:color="auto"/>
            </w:tcBorders>
            <w:shd w:val="clear" w:color="auto" w:fill="auto"/>
            <w:vAlign w:val="center"/>
            <w:hideMark/>
          </w:tcPr>
          <w:p w14:paraId="7980818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3.20%</w:t>
            </w:r>
          </w:p>
        </w:tc>
        <w:tc>
          <w:tcPr>
            <w:tcW w:w="1096" w:type="dxa"/>
            <w:tcBorders>
              <w:top w:val="nil"/>
              <w:left w:val="nil"/>
              <w:bottom w:val="single" w:sz="4" w:space="0" w:color="auto"/>
              <w:right w:val="single" w:sz="4" w:space="0" w:color="auto"/>
            </w:tcBorders>
            <w:shd w:val="clear" w:color="000000" w:fill="D9D9D9"/>
            <w:vAlign w:val="center"/>
            <w:hideMark/>
          </w:tcPr>
          <w:p w14:paraId="51F722B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1.004</w:t>
            </w:r>
          </w:p>
        </w:tc>
      </w:tr>
      <w:tr w:rsidR="002F12B1" w14:paraId="6944B96A"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BFBFBF"/>
            <w:vAlign w:val="center"/>
            <w:hideMark/>
          </w:tcPr>
          <w:p w14:paraId="7C0EDC67"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Education and Skills</w:t>
            </w:r>
          </w:p>
        </w:tc>
        <w:tc>
          <w:tcPr>
            <w:tcW w:w="1201" w:type="dxa"/>
            <w:tcBorders>
              <w:top w:val="nil"/>
              <w:left w:val="nil"/>
              <w:bottom w:val="single" w:sz="4" w:space="0" w:color="auto"/>
              <w:right w:val="single" w:sz="4" w:space="0" w:color="auto"/>
            </w:tcBorders>
            <w:shd w:val="clear" w:color="000000" w:fill="BFBFBF"/>
            <w:vAlign w:val="center"/>
            <w:hideMark/>
          </w:tcPr>
          <w:p w14:paraId="612A67C2"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48.491</w:t>
            </w:r>
          </w:p>
        </w:tc>
        <w:tc>
          <w:tcPr>
            <w:tcW w:w="1102" w:type="dxa"/>
            <w:tcBorders>
              <w:top w:val="nil"/>
              <w:left w:val="nil"/>
              <w:bottom w:val="single" w:sz="4" w:space="0" w:color="auto"/>
              <w:right w:val="single" w:sz="4" w:space="0" w:color="auto"/>
            </w:tcBorders>
            <w:shd w:val="clear" w:color="000000" w:fill="BFBFBF"/>
            <w:vAlign w:val="center"/>
            <w:hideMark/>
          </w:tcPr>
          <w:p w14:paraId="32DB5F8F"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48.467</w:t>
            </w:r>
          </w:p>
        </w:tc>
        <w:tc>
          <w:tcPr>
            <w:tcW w:w="1117" w:type="dxa"/>
            <w:tcBorders>
              <w:top w:val="nil"/>
              <w:left w:val="nil"/>
              <w:bottom w:val="single" w:sz="4" w:space="0" w:color="auto"/>
              <w:right w:val="single" w:sz="4" w:space="0" w:color="auto"/>
            </w:tcBorders>
            <w:shd w:val="clear" w:color="000000" w:fill="BFBFBF"/>
            <w:vAlign w:val="center"/>
            <w:hideMark/>
          </w:tcPr>
          <w:p w14:paraId="24EDC1E0"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-0.024</w:t>
            </w:r>
          </w:p>
        </w:tc>
        <w:tc>
          <w:tcPr>
            <w:tcW w:w="1096" w:type="dxa"/>
            <w:tcBorders>
              <w:top w:val="nil"/>
              <w:left w:val="nil"/>
              <w:bottom w:val="single" w:sz="4" w:space="0" w:color="auto"/>
              <w:right w:val="single" w:sz="4" w:space="0" w:color="auto"/>
            </w:tcBorders>
            <w:shd w:val="clear" w:color="000000" w:fill="BFBFBF"/>
            <w:vAlign w:val="center"/>
            <w:hideMark/>
          </w:tcPr>
          <w:p w14:paraId="50336872"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-0.05%</w:t>
            </w:r>
          </w:p>
        </w:tc>
        <w:tc>
          <w:tcPr>
            <w:tcW w:w="1096" w:type="dxa"/>
            <w:tcBorders>
              <w:top w:val="nil"/>
              <w:left w:val="nil"/>
              <w:bottom w:val="single" w:sz="4" w:space="0" w:color="auto"/>
              <w:right w:val="single" w:sz="4" w:space="0" w:color="auto"/>
            </w:tcBorders>
            <w:shd w:val="clear" w:color="000000" w:fill="BFBFBF"/>
            <w:vAlign w:val="center"/>
            <w:hideMark/>
          </w:tcPr>
          <w:p w14:paraId="5F3AAE7C"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1.382</w:t>
            </w:r>
          </w:p>
        </w:tc>
      </w:tr>
      <w:tr w:rsidR="002F12B1" w14:paraId="4EBAD608"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0C8A06B4"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 xml:space="preserve">Quality Assurance, Inspection </w:t>
            </w:r>
            <w:proofErr w:type="gramStart"/>
            <w:r w:rsidRPr="009F5760">
              <w:rPr>
                <w:rFonts w:eastAsia="Times New Roman" w:cs="Arial"/>
                <w:b/>
                <w:bCs/>
                <w:sz w:val="20"/>
                <w:szCs w:val="20"/>
                <w:lang w:eastAsia="en-GB"/>
              </w:rPr>
              <w:t>And</w:t>
            </w:r>
            <w:proofErr w:type="gramEnd"/>
            <w:r w:rsidRPr="009F5760">
              <w:rPr>
                <w:rFonts w:eastAsia="Times New Roman" w:cs="Arial"/>
                <w:b/>
                <w:bCs/>
                <w:sz w:val="20"/>
                <w:szCs w:val="20"/>
                <w:lang w:eastAsia="en-GB"/>
              </w:rPr>
              <w:t xml:space="preserve"> Safeguarding</w:t>
            </w:r>
          </w:p>
        </w:tc>
        <w:tc>
          <w:tcPr>
            <w:tcW w:w="1201" w:type="dxa"/>
            <w:tcBorders>
              <w:top w:val="nil"/>
              <w:left w:val="nil"/>
              <w:bottom w:val="single" w:sz="4" w:space="0" w:color="auto"/>
              <w:right w:val="single" w:sz="4" w:space="0" w:color="auto"/>
            </w:tcBorders>
            <w:shd w:val="clear" w:color="auto" w:fill="auto"/>
            <w:vAlign w:val="center"/>
            <w:hideMark/>
          </w:tcPr>
          <w:p w14:paraId="262FF026"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13.441</w:t>
            </w:r>
          </w:p>
        </w:tc>
        <w:tc>
          <w:tcPr>
            <w:tcW w:w="1102" w:type="dxa"/>
            <w:tcBorders>
              <w:top w:val="nil"/>
              <w:left w:val="nil"/>
              <w:bottom w:val="single" w:sz="4" w:space="0" w:color="auto"/>
              <w:right w:val="single" w:sz="4" w:space="0" w:color="auto"/>
            </w:tcBorders>
            <w:shd w:val="clear" w:color="auto" w:fill="auto"/>
            <w:vAlign w:val="center"/>
            <w:hideMark/>
          </w:tcPr>
          <w:p w14:paraId="181CA398"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12.355</w:t>
            </w:r>
          </w:p>
        </w:tc>
        <w:tc>
          <w:tcPr>
            <w:tcW w:w="1117" w:type="dxa"/>
            <w:tcBorders>
              <w:top w:val="nil"/>
              <w:left w:val="nil"/>
              <w:bottom w:val="nil"/>
              <w:right w:val="single" w:sz="4" w:space="0" w:color="auto"/>
            </w:tcBorders>
            <w:shd w:val="clear" w:color="000000" w:fill="D9D9D9"/>
            <w:vAlign w:val="center"/>
            <w:hideMark/>
          </w:tcPr>
          <w:p w14:paraId="1DBCC421"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-1.086</w:t>
            </w:r>
          </w:p>
        </w:tc>
        <w:tc>
          <w:tcPr>
            <w:tcW w:w="1096" w:type="dxa"/>
            <w:tcBorders>
              <w:top w:val="nil"/>
              <w:left w:val="nil"/>
              <w:bottom w:val="single" w:sz="4" w:space="0" w:color="auto"/>
              <w:right w:val="single" w:sz="4" w:space="0" w:color="auto"/>
            </w:tcBorders>
            <w:shd w:val="clear" w:color="auto" w:fill="auto"/>
            <w:vAlign w:val="center"/>
            <w:hideMark/>
          </w:tcPr>
          <w:p w14:paraId="6DBCEB8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-8.08%</w:t>
            </w:r>
          </w:p>
        </w:tc>
        <w:tc>
          <w:tcPr>
            <w:tcW w:w="1096" w:type="dxa"/>
            <w:tcBorders>
              <w:top w:val="nil"/>
              <w:left w:val="nil"/>
              <w:bottom w:val="nil"/>
              <w:right w:val="single" w:sz="4" w:space="0" w:color="auto"/>
            </w:tcBorders>
            <w:shd w:val="clear" w:color="000000" w:fill="D9D9D9"/>
            <w:vAlign w:val="center"/>
            <w:hideMark/>
          </w:tcPr>
          <w:p w14:paraId="03A43CBD"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-0.882</w:t>
            </w:r>
          </w:p>
        </w:tc>
      </w:tr>
      <w:tr w:rsidR="002F12B1" w14:paraId="6BB87ED9"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70B1D3A9"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Policy Info &amp; Commission Start Well</w:t>
            </w:r>
          </w:p>
        </w:tc>
        <w:tc>
          <w:tcPr>
            <w:tcW w:w="1201" w:type="dxa"/>
            <w:tcBorders>
              <w:top w:val="nil"/>
              <w:left w:val="nil"/>
              <w:bottom w:val="single" w:sz="4" w:space="0" w:color="auto"/>
              <w:right w:val="single" w:sz="4" w:space="0" w:color="auto"/>
            </w:tcBorders>
            <w:shd w:val="clear" w:color="auto" w:fill="auto"/>
            <w:vAlign w:val="center"/>
            <w:hideMark/>
          </w:tcPr>
          <w:p w14:paraId="7111E3AB"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1.550</w:t>
            </w:r>
          </w:p>
        </w:tc>
        <w:tc>
          <w:tcPr>
            <w:tcW w:w="1102" w:type="dxa"/>
            <w:tcBorders>
              <w:top w:val="nil"/>
              <w:left w:val="nil"/>
              <w:bottom w:val="single" w:sz="4" w:space="0" w:color="auto"/>
              <w:right w:val="single" w:sz="4" w:space="0" w:color="auto"/>
            </w:tcBorders>
            <w:shd w:val="clear" w:color="auto" w:fill="auto"/>
            <w:vAlign w:val="center"/>
            <w:hideMark/>
          </w:tcPr>
          <w:p w14:paraId="5657F8E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1.984</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07F49169"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0.434</w:t>
            </w:r>
          </w:p>
        </w:tc>
        <w:tc>
          <w:tcPr>
            <w:tcW w:w="1096" w:type="dxa"/>
            <w:tcBorders>
              <w:top w:val="nil"/>
              <w:left w:val="nil"/>
              <w:bottom w:val="single" w:sz="4" w:space="0" w:color="auto"/>
              <w:right w:val="single" w:sz="4" w:space="0" w:color="auto"/>
            </w:tcBorders>
            <w:shd w:val="clear" w:color="auto" w:fill="auto"/>
            <w:vAlign w:val="center"/>
            <w:hideMark/>
          </w:tcPr>
          <w:p w14:paraId="4C7B144E"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28.00%</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28C6BFCA"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-0.032</w:t>
            </w:r>
          </w:p>
        </w:tc>
      </w:tr>
      <w:tr w:rsidR="002F12B1" w14:paraId="77D9C8BE"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1FE73C33"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Education &amp; Children's Services Central Costs</w:t>
            </w:r>
          </w:p>
        </w:tc>
        <w:tc>
          <w:tcPr>
            <w:tcW w:w="1201" w:type="dxa"/>
            <w:tcBorders>
              <w:top w:val="nil"/>
              <w:left w:val="nil"/>
              <w:bottom w:val="single" w:sz="4" w:space="0" w:color="auto"/>
              <w:right w:val="single" w:sz="4" w:space="0" w:color="auto"/>
            </w:tcBorders>
            <w:shd w:val="clear" w:color="auto" w:fill="auto"/>
            <w:vAlign w:val="center"/>
            <w:hideMark/>
          </w:tcPr>
          <w:p w14:paraId="04FD43A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-1.430</w:t>
            </w:r>
          </w:p>
        </w:tc>
        <w:tc>
          <w:tcPr>
            <w:tcW w:w="1102" w:type="dxa"/>
            <w:tcBorders>
              <w:top w:val="nil"/>
              <w:left w:val="nil"/>
              <w:bottom w:val="single" w:sz="4" w:space="0" w:color="auto"/>
              <w:right w:val="single" w:sz="4" w:space="0" w:color="auto"/>
            </w:tcBorders>
            <w:shd w:val="clear" w:color="auto" w:fill="auto"/>
            <w:vAlign w:val="center"/>
            <w:hideMark/>
          </w:tcPr>
          <w:p w14:paraId="03181577"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2.969</w:t>
            </w:r>
          </w:p>
        </w:tc>
        <w:tc>
          <w:tcPr>
            <w:tcW w:w="1117" w:type="dxa"/>
            <w:tcBorders>
              <w:top w:val="nil"/>
              <w:left w:val="nil"/>
              <w:bottom w:val="single" w:sz="4" w:space="0" w:color="auto"/>
              <w:right w:val="single" w:sz="4" w:space="0" w:color="auto"/>
            </w:tcBorders>
            <w:shd w:val="clear" w:color="000000" w:fill="D9D9D9"/>
            <w:vAlign w:val="center"/>
            <w:hideMark/>
          </w:tcPr>
          <w:p w14:paraId="4DFC1C85"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4.399</w:t>
            </w:r>
          </w:p>
        </w:tc>
        <w:tc>
          <w:tcPr>
            <w:tcW w:w="1096" w:type="dxa"/>
            <w:tcBorders>
              <w:top w:val="nil"/>
              <w:left w:val="nil"/>
              <w:bottom w:val="single" w:sz="4" w:space="0" w:color="auto"/>
              <w:right w:val="single" w:sz="4" w:space="0" w:color="auto"/>
            </w:tcBorders>
            <w:shd w:val="clear" w:color="auto" w:fill="auto"/>
            <w:vAlign w:val="center"/>
            <w:hideMark/>
          </w:tcPr>
          <w:p w14:paraId="5BDEED30"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-307.62%</w:t>
            </w:r>
          </w:p>
        </w:tc>
        <w:tc>
          <w:tcPr>
            <w:tcW w:w="1096" w:type="dxa"/>
            <w:tcBorders>
              <w:top w:val="nil"/>
              <w:left w:val="nil"/>
              <w:bottom w:val="single" w:sz="4" w:space="0" w:color="auto"/>
              <w:right w:val="single" w:sz="4" w:space="0" w:color="auto"/>
            </w:tcBorders>
            <w:shd w:val="clear" w:color="000000" w:fill="D9D9D9"/>
            <w:vAlign w:val="center"/>
            <w:hideMark/>
          </w:tcPr>
          <w:p w14:paraId="123E373D"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9F5760">
              <w:rPr>
                <w:rFonts w:eastAsia="Times New Roman" w:cs="Arial"/>
                <w:sz w:val="20"/>
                <w:szCs w:val="20"/>
                <w:lang w:eastAsia="en-GB"/>
              </w:rPr>
              <w:t>-0.598</w:t>
            </w:r>
          </w:p>
        </w:tc>
      </w:tr>
      <w:tr w:rsidR="002F12B1" w14:paraId="36A9D50E"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78F719F4"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w:t>
            </w:r>
          </w:p>
        </w:tc>
        <w:tc>
          <w:tcPr>
            <w:tcW w:w="1201" w:type="dxa"/>
            <w:tcBorders>
              <w:top w:val="nil"/>
              <w:left w:val="nil"/>
              <w:bottom w:val="single" w:sz="4" w:space="0" w:color="auto"/>
              <w:right w:val="single" w:sz="4" w:space="0" w:color="auto"/>
            </w:tcBorders>
            <w:shd w:val="clear" w:color="000000" w:fill="D9D9D9"/>
            <w:vAlign w:val="center"/>
            <w:hideMark/>
          </w:tcPr>
          <w:p w14:paraId="3AABAC70"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200.377</w:t>
            </w:r>
          </w:p>
        </w:tc>
        <w:tc>
          <w:tcPr>
            <w:tcW w:w="1102" w:type="dxa"/>
            <w:tcBorders>
              <w:top w:val="nil"/>
              <w:left w:val="nil"/>
              <w:bottom w:val="single" w:sz="4" w:space="0" w:color="auto"/>
              <w:right w:val="single" w:sz="4" w:space="0" w:color="auto"/>
            </w:tcBorders>
            <w:shd w:val="clear" w:color="000000" w:fill="D9D9D9"/>
            <w:vAlign w:val="center"/>
            <w:hideMark/>
          </w:tcPr>
          <w:p w14:paraId="670315D5"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206.745</w:t>
            </w:r>
          </w:p>
        </w:tc>
        <w:tc>
          <w:tcPr>
            <w:tcW w:w="1117" w:type="dxa"/>
            <w:tcBorders>
              <w:top w:val="nil"/>
              <w:left w:val="nil"/>
              <w:bottom w:val="single" w:sz="4" w:space="0" w:color="auto"/>
              <w:right w:val="single" w:sz="4" w:space="0" w:color="auto"/>
            </w:tcBorders>
            <w:shd w:val="clear" w:color="000000" w:fill="D9D9D9"/>
            <w:vAlign w:val="center"/>
            <w:hideMark/>
          </w:tcPr>
          <w:p w14:paraId="7C6981B7"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6.368</w:t>
            </w:r>
          </w:p>
        </w:tc>
        <w:tc>
          <w:tcPr>
            <w:tcW w:w="1096" w:type="dxa"/>
            <w:tcBorders>
              <w:top w:val="nil"/>
              <w:left w:val="nil"/>
              <w:bottom w:val="single" w:sz="4" w:space="0" w:color="auto"/>
              <w:right w:val="single" w:sz="4" w:space="0" w:color="auto"/>
            </w:tcBorders>
            <w:shd w:val="clear" w:color="000000" w:fill="D9D9D9"/>
            <w:vAlign w:val="center"/>
            <w:hideMark/>
          </w:tcPr>
          <w:p w14:paraId="76A2348D"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3.18%</w:t>
            </w:r>
          </w:p>
        </w:tc>
        <w:tc>
          <w:tcPr>
            <w:tcW w:w="1096" w:type="dxa"/>
            <w:tcBorders>
              <w:top w:val="nil"/>
              <w:left w:val="nil"/>
              <w:bottom w:val="single" w:sz="4" w:space="0" w:color="auto"/>
              <w:right w:val="single" w:sz="4" w:space="0" w:color="auto"/>
            </w:tcBorders>
            <w:shd w:val="clear" w:color="000000" w:fill="D9D9D9"/>
            <w:vAlign w:val="center"/>
            <w:hideMark/>
          </w:tcPr>
          <w:p w14:paraId="47C6F4CA"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7.871</w:t>
            </w:r>
          </w:p>
        </w:tc>
      </w:tr>
      <w:tr w:rsidR="002F12B1" w14:paraId="3F2E8BC8" w14:textId="77777777" w:rsidTr="00D10794">
        <w:trPr>
          <w:trHeight w:val="310"/>
        </w:trPr>
        <w:tc>
          <w:tcPr>
            <w:tcW w:w="3695" w:type="dxa"/>
            <w:tcBorders>
              <w:top w:val="nil"/>
              <w:left w:val="single" w:sz="4" w:space="0" w:color="auto"/>
              <w:bottom w:val="single" w:sz="4" w:space="0" w:color="auto"/>
              <w:right w:val="single" w:sz="4" w:space="0" w:color="auto"/>
            </w:tcBorders>
            <w:shd w:val="clear" w:color="auto" w:fill="auto"/>
            <w:vAlign w:val="center"/>
            <w:hideMark/>
          </w:tcPr>
          <w:p w14:paraId="2C5F549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201" w:type="dxa"/>
            <w:tcBorders>
              <w:top w:val="nil"/>
              <w:left w:val="nil"/>
              <w:bottom w:val="single" w:sz="4" w:space="0" w:color="auto"/>
              <w:right w:val="single" w:sz="4" w:space="0" w:color="auto"/>
            </w:tcBorders>
            <w:shd w:val="clear" w:color="auto" w:fill="auto"/>
            <w:vAlign w:val="center"/>
            <w:hideMark/>
          </w:tcPr>
          <w:p w14:paraId="603D5B9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102" w:type="dxa"/>
            <w:tcBorders>
              <w:top w:val="nil"/>
              <w:left w:val="nil"/>
              <w:bottom w:val="single" w:sz="4" w:space="0" w:color="auto"/>
              <w:right w:val="single" w:sz="4" w:space="0" w:color="auto"/>
            </w:tcBorders>
            <w:shd w:val="clear" w:color="auto" w:fill="auto"/>
            <w:vAlign w:val="center"/>
            <w:hideMark/>
          </w:tcPr>
          <w:p w14:paraId="2CF023F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-5.066</w:t>
            </w:r>
          </w:p>
        </w:tc>
        <w:tc>
          <w:tcPr>
            <w:tcW w:w="1117" w:type="dxa"/>
            <w:tcBorders>
              <w:top w:val="nil"/>
              <w:left w:val="nil"/>
              <w:bottom w:val="single" w:sz="4" w:space="0" w:color="auto"/>
              <w:right w:val="single" w:sz="4" w:space="0" w:color="auto"/>
            </w:tcBorders>
            <w:shd w:val="clear" w:color="auto" w:fill="auto"/>
            <w:vAlign w:val="center"/>
            <w:hideMark/>
          </w:tcPr>
          <w:p w14:paraId="13A0D90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-5.066</w:t>
            </w:r>
          </w:p>
        </w:tc>
        <w:tc>
          <w:tcPr>
            <w:tcW w:w="1096" w:type="dxa"/>
            <w:tcBorders>
              <w:top w:val="nil"/>
              <w:left w:val="nil"/>
              <w:bottom w:val="single" w:sz="4" w:space="0" w:color="auto"/>
              <w:right w:val="single" w:sz="4" w:space="0" w:color="auto"/>
            </w:tcBorders>
            <w:shd w:val="clear" w:color="auto" w:fill="auto"/>
            <w:vAlign w:val="center"/>
            <w:hideMark/>
          </w:tcPr>
          <w:p w14:paraId="1CB3C08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1096" w:type="dxa"/>
            <w:tcBorders>
              <w:top w:val="nil"/>
              <w:left w:val="nil"/>
              <w:bottom w:val="single" w:sz="4" w:space="0" w:color="auto"/>
              <w:right w:val="single" w:sz="4" w:space="0" w:color="auto"/>
            </w:tcBorders>
            <w:shd w:val="clear" w:color="auto" w:fill="auto"/>
            <w:vAlign w:val="center"/>
            <w:hideMark/>
          </w:tcPr>
          <w:p w14:paraId="36ED0D93" w14:textId="77777777" w:rsidR="00D10794" w:rsidRPr="009F5760"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-8.122</w:t>
            </w:r>
          </w:p>
        </w:tc>
      </w:tr>
      <w:tr w:rsidR="002F12B1" w14:paraId="7FC3168C" w14:textId="77777777" w:rsidTr="00D10794">
        <w:trPr>
          <w:trHeight w:val="310"/>
        </w:trPr>
        <w:tc>
          <w:tcPr>
            <w:tcW w:w="3695" w:type="dxa"/>
            <w:tcBorders>
              <w:top w:val="nil"/>
              <w:left w:val="single" w:sz="4" w:space="0" w:color="auto"/>
              <w:bottom w:val="single" w:sz="4" w:space="0" w:color="auto"/>
              <w:right w:val="single" w:sz="4" w:space="0" w:color="auto"/>
            </w:tcBorders>
            <w:shd w:val="clear" w:color="000000" w:fill="D9D9D9"/>
            <w:vAlign w:val="center"/>
            <w:hideMark/>
          </w:tcPr>
          <w:p w14:paraId="77B54727" w14:textId="77777777" w:rsidR="00D10794" w:rsidRPr="009F5760" w:rsidRDefault="00D10794" w:rsidP="00D10794">
            <w:pPr>
              <w:autoSpaceDE/>
              <w:autoSpaceDN/>
              <w:adjustRightInd/>
              <w:spacing w:after="0"/>
              <w:jc w:val="left"/>
              <w:rPr>
                <w:rFonts w:eastAsia="Times New Roman" w:cs="Arial"/>
                <w:b/>
                <w:bCs/>
                <w:sz w:val="20"/>
                <w:szCs w:val="20"/>
                <w:lang w:eastAsia="en-GB"/>
              </w:rPr>
            </w:pPr>
            <w:r w:rsidRPr="009F5760">
              <w:rPr>
                <w:rFonts w:eastAsia="Times New Roman" w:cs="Arial"/>
                <w:b/>
                <w:bCs/>
                <w:sz w:val="20"/>
                <w:szCs w:val="20"/>
                <w:lang w:eastAsia="en-GB"/>
              </w:rPr>
              <w:t>Total Education and Children's Services</w:t>
            </w:r>
          </w:p>
        </w:tc>
        <w:tc>
          <w:tcPr>
            <w:tcW w:w="1201" w:type="dxa"/>
            <w:tcBorders>
              <w:top w:val="nil"/>
              <w:left w:val="nil"/>
              <w:bottom w:val="single" w:sz="4" w:space="0" w:color="auto"/>
              <w:right w:val="single" w:sz="4" w:space="0" w:color="auto"/>
            </w:tcBorders>
            <w:shd w:val="clear" w:color="000000" w:fill="D9D9D9"/>
            <w:vAlign w:val="center"/>
            <w:hideMark/>
          </w:tcPr>
          <w:p w14:paraId="007798A9"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200.377</w:t>
            </w:r>
          </w:p>
        </w:tc>
        <w:tc>
          <w:tcPr>
            <w:tcW w:w="1102" w:type="dxa"/>
            <w:tcBorders>
              <w:top w:val="nil"/>
              <w:left w:val="nil"/>
              <w:bottom w:val="single" w:sz="4" w:space="0" w:color="auto"/>
              <w:right w:val="single" w:sz="4" w:space="0" w:color="auto"/>
            </w:tcBorders>
            <w:shd w:val="clear" w:color="000000" w:fill="D9D9D9"/>
            <w:vAlign w:val="center"/>
            <w:hideMark/>
          </w:tcPr>
          <w:p w14:paraId="072837AE"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201.679</w:t>
            </w:r>
          </w:p>
        </w:tc>
        <w:tc>
          <w:tcPr>
            <w:tcW w:w="1117" w:type="dxa"/>
            <w:tcBorders>
              <w:top w:val="nil"/>
              <w:left w:val="nil"/>
              <w:bottom w:val="single" w:sz="4" w:space="0" w:color="auto"/>
              <w:right w:val="single" w:sz="4" w:space="0" w:color="auto"/>
            </w:tcBorders>
            <w:shd w:val="clear" w:color="000000" w:fill="D9D9D9"/>
            <w:vAlign w:val="center"/>
            <w:hideMark/>
          </w:tcPr>
          <w:p w14:paraId="2CECCF1A"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1.302</w:t>
            </w:r>
          </w:p>
        </w:tc>
        <w:tc>
          <w:tcPr>
            <w:tcW w:w="1096" w:type="dxa"/>
            <w:tcBorders>
              <w:top w:val="nil"/>
              <w:left w:val="nil"/>
              <w:bottom w:val="single" w:sz="4" w:space="0" w:color="auto"/>
              <w:right w:val="single" w:sz="4" w:space="0" w:color="auto"/>
            </w:tcBorders>
            <w:shd w:val="clear" w:color="000000" w:fill="D9D9D9"/>
            <w:vAlign w:val="center"/>
            <w:hideMark/>
          </w:tcPr>
          <w:p w14:paraId="13D1E2F7"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0.65%</w:t>
            </w:r>
          </w:p>
        </w:tc>
        <w:tc>
          <w:tcPr>
            <w:tcW w:w="1096" w:type="dxa"/>
            <w:tcBorders>
              <w:top w:val="nil"/>
              <w:left w:val="nil"/>
              <w:bottom w:val="single" w:sz="4" w:space="0" w:color="auto"/>
              <w:right w:val="single" w:sz="4" w:space="0" w:color="auto"/>
            </w:tcBorders>
            <w:shd w:val="clear" w:color="000000" w:fill="D9D9D9"/>
            <w:vAlign w:val="center"/>
            <w:hideMark/>
          </w:tcPr>
          <w:p w14:paraId="75FCD6A3" w14:textId="77777777" w:rsidR="00D10794" w:rsidRPr="009F5760" w:rsidRDefault="00D10794" w:rsidP="00D10794">
            <w:pPr>
              <w:autoSpaceDE/>
              <w:autoSpaceDN/>
              <w:adjustRightInd/>
              <w:spacing w:after="0"/>
              <w:jc w:val="right"/>
              <w:rPr>
                <w:rFonts w:eastAsia="Times New Roman" w:cs="Arial"/>
                <w:b/>
                <w:bCs/>
                <w:sz w:val="20"/>
                <w:szCs w:val="20"/>
                <w:lang w:eastAsia="en-GB"/>
              </w:rPr>
            </w:pPr>
            <w:r w:rsidRPr="009F5760">
              <w:rPr>
                <w:rFonts w:eastAsia="Times New Roman" w:cs="Arial"/>
                <w:b/>
                <w:bCs/>
                <w:sz w:val="20"/>
                <w:szCs w:val="20"/>
                <w:lang w:eastAsia="en-GB"/>
              </w:rPr>
              <w:t>-0.251</w:t>
            </w:r>
          </w:p>
        </w:tc>
      </w:tr>
    </w:tbl>
    <w:p w14:paraId="7A44EDAB" w14:textId="77777777" w:rsidR="00D10794" w:rsidRPr="00C529BF" w:rsidRDefault="00D10794" w:rsidP="00D10794">
      <w:pPr>
        <w:tabs>
          <w:tab w:val="left" w:pos="0"/>
          <w:tab w:val="left" w:pos="1418"/>
        </w:tabs>
        <w:contextualSpacing/>
        <w:rPr>
          <w:rFonts w:cs="Arial"/>
          <w:highlight w:val="yellow"/>
        </w:rPr>
      </w:pPr>
    </w:p>
    <w:p w14:paraId="415EC038" w14:textId="77777777" w:rsidR="00D10794" w:rsidRDefault="00D10794" w:rsidP="00D10794">
      <w:pPr>
        <w:ind w:left="855" w:hanging="855"/>
        <w:contextualSpacing/>
        <w:rPr>
          <w:rFonts w:cs="Arial"/>
          <w:b/>
          <w:bCs/>
        </w:rPr>
      </w:pPr>
      <w:r w:rsidRPr="00A97B9F">
        <w:rPr>
          <w:rFonts w:cs="Arial"/>
          <w:b/>
          <w:bCs/>
        </w:rPr>
        <w:t>Education and Children's Services – overspend £1.302m</w:t>
      </w:r>
    </w:p>
    <w:p w14:paraId="6B00EB00" w14:textId="77777777" w:rsidR="00D10794" w:rsidRDefault="00D10794" w:rsidP="00D10794">
      <w:pPr>
        <w:ind w:left="855" w:hanging="855"/>
        <w:contextualSpacing/>
        <w:rPr>
          <w:rFonts w:cs="Arial"/>
          <w:b/>
          <w:bCs/>
        </w:rPr>
      </w:pPr>
    </w:p>
    <w:p w14:paraId="1D4443DB" w14:textId="77777777" w:rsidR="00D10794" w:rsidRDefault="00D10794" w:rsidP="00D10794">
      <w:pPr>
        <w:spacing w:after="0"/>
        <w:contextualSpacing/>
        <w:rPr>
          <w:rFonts w:cs="Arial"/>
          <w:b/>
        </w:rPr>
      </w:pPr>
      <w:bookmarkStart w:id="3" w:name="_Hlk72390340"/>
      <w:r w:rsidRPr="0093389C">
        <w:rPr>
          <w:rFonts w:cs="Arial"/>
        </w:rPr>
        <w:t xml:space="preserve">Education and children's services has been apportioned £5.066m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bookmarkEnd w:id="3"/>
    <w:p w14:paraId="5EEBEEEA" w14:textId="77777777" w:rsidR="00D10794" w:rsidRDefault="00D10794" w:rsidP="00D10794">
      <w:pPr>
        <w:contextualSpacing/>
        <w:rPr>
          <w:rFonts w:cs="Arial"/>
          <w:b/>
          <w:bCs/>
        </w:rPr>
      </w:pPr>
    </w:p>
    <w:p w14:paraId="1C39765B" w14:textId="77777777" w:rsidR="00D10794" w:rsidRPr="00A97B9F" w:rsidRDefault="00D10794" w:rsidP="00D10794">
      <w:pPr>
        <w:rPr>
          <w:i/>
          <w:iCs/>
        </w:rPr>
      </w:pPr>
      <w:r w:rsidRPr="00A97B9F">
        <w:rPr>
          <w:rFonts w:eastAsia="Arial" w:cs="Arial"/>
          <w:b/>
          <w:bCs/>
          <w:i/>
          <w:iCs/>
        </w:rPr>
        <w:t xml:space="preserve">Children's Social Care – </w:t>
      </w:r>
      <w:r>
        <w:rPr>
          <w:rFonts w:eastAsia="Arial" w:cs="Arial"/>
          <w:b/>
          <w:bCs/>
          <w:i/>
          <w:iCs/>
        </w:rPr>
        <w:t>o</w:t>
      </w:r>
      <w:r w:rsidRPr="00A97B9F">
        <w:rPr>
          <w:rFonts w:eastAsia="Arial" w:cs="Arial"/>
          <w:b/>
          <w:bCs/>
          <w:i/>
          <w:iCs/>
        </w:rPr>
        <w:t>verspend £2.645m</w:t>
      </w:r>
    </w:p>
    <w:p w14:paraId="637E3163" w14:textId="77777777" w:rsidR="00D10794" w:rsidRPr="00B90474" w:rsidRDefault="00D10794" w:rsidP="00D10794">
      <w:pPr>
        <w:contextualSpacing/>
        <w:rPr>
          <w:rFonts w:cs="Arial"/>
          <w:b/>
          <w:bCs/>
          <w:highlight w:val="green"/>
        </w:rPr>
      </w:pPr>
    </w:p>
    <w:p w14:paraId="7B3982DF" w14:textId="77777777" w:rsidR="00D10794" w:rsidRDefault="00D10794" w:rsidP="00D10794">
      <w:pPr>
        <w:ind w:left="855" w:hanging="855"/>
        <w:contextualSpacing/>
        <w:rPr>
          <w:rFonts w:cs="Arial"/>
          <w:b/>
          <w:bCs/>
        </w:rPr>
      </w:pPr>
      <w:r w:rsidRPr="00A97B9F">
        <w:rPr>
          <w:rFonts w:cs="Arial"/>
          <w:b/>
          <w:bCs/>
        </w:rPr>
        <w:t>Children's Social Care Localities – overspend £2.596m</w:t>
      </w:r>
    </w:p>
    <w:p w14:paraId="685E9208" w14:textId="77777777" w:rsidR="00D10794" w:rsidRDefault="00D10794" w:rsidP="00D10794">
      <w:pPr>
        <w:spacing w:after="0"/>
        <w:rPr>
          <w:rFonts w:eastAsia="Arial" w:cs="Arial"/>
        </w:rPr>
      </w:pPr>
      <w:r w:rsidRPr="2A708600">
        <w:rPr>
          <w:rFonts w:eastAsia="Arial" w:cs="Arial"/>
        </w:rPr>
        <w:t xml:space="preserve">The main pressures within Children's Social Care Localities relate to agency residential and fostering placements and staff costs, both of which are the largest areas of spend within the service. </w:t>
      </w:r>
    </w:p>
    <w:p w14:paraId="0F1521D7" w14:textId="77777777" w:rsidR="00D10794" w:rsidRPr="00A97B9F" w:rsidRDefault="00D10794" w:rsidP="00D10794">
      <w:pPr>
        <w:spacing w:after="0"/>
      </w:pPr>
    </w:p>
    <w:p w14:paraId="38BFDBEB" w14:textId="1A920954" w:rsidR="00D10794" w:rsidRPr="00A97B9F" w:rsidRDefault="00D10794" w:rsidP="00D10794">
      <w:pPr>
        <w:spacing w:after="0"/>
        <w:contextualSpacing/>
        <w:rPr>
          <w:rFonts w:cs="Arial"/>
        </w:rPr>
      </w:pPr>
      <w:r w:rsidRPr="00A97B9F">
        <w:rPr>
          <w:rFonts w:cs="Arial"/>
        </w:rPr>
        <w:t xml:space="preserve">The variance includes an overspend of £2.481m related to staffing.  The service continues to experience issues with recruitment and retention which results in posts being temporarily filled with agency staff (at extra cost) including the cost of work undertaken by external providers.  </w:t>
      </w:r>
      <w:r w:rsidRPr="00A97B9F">
        <w:rPr>
          <w:rFonts w:eastAsia="Times New Roman"/>
        </w:rPr>
        <w:t>The service is reviewing the use of agency staff,</w:t>
      </w:r>
      <w:r>
        <w:rPr>
          <w:rFonts w:eastAsia="Times New Roman"/>
        </w:rPr>
        <w:t xml:space="preserve"> has implemented a </w:t>
      </w:r>
      <w:proofErr w:type="gramStart"/>
      <w:r w:rsidRPr="00A97B9F">
        <w:rPr>
          <w:rFonts w:eastAsia="Times New Roman"/>
        </w:rPr>
        <w:t>restructure</w:t>
      </w:r>
      <w:proofErr w:type="gramEnd"/>
      <w:r w:rsidRPr="00A97B9F">
        <w:rPr>
          <w:rFonts w:eastAsia="Times New Roman"/>
        </w:rPr>
        <w:t xml:space="preserve"> and </w:t>
      </w:r>
      <w:r>
        <w:rPr>
          <w:rFonts w:eastAsia="Times New Roman"/>
        </w:rPr>
        <w:t xml:space="preserve">is </w:t>
      </w:r>
      <w:r w:rsidRPr="00A97B9F">
        <w:rPr>
          <w:rFonts w:eastAsia="Times New Roman"/>
        </w:rPr>
        <w:t>working towards the implementation of the family safeguarding model</w:t>
      </w:r>
      <w:r>
        <w:rPr>
          <w:rFonts w:eastAsia="Times New Roman"/>
        </w:rPr>
        <w:t>.</w:t>
      </w:r>
      <w:r w:rsidR="00C12E36">
        <w:rPr>
          <w:rFonts w:eastAsia="Times New Roman"/>
        </w:rPr>
        <w:t xml:space="preserve"> The Head of Transformation has a clear plan to oversee spend and support the recruitment of social workers across the directorate. There are several virtual recruitment drives organised. The communications team have worked with the teams to highlight the low caseloads in Lancashire and the ability to work in a Multi-agency team. The more permanent social workers we can appoint will mean </w:t>
      </w:r>
      <w:r w:rsidR="00C12E36">
        <w:rPr>
          <w:rFonts w:eastAsia="Times New Roman"/>
        </w:rPr>
        <w:lastRenderedPageBreak/>
        <w:t xml:space="preserve">the use of agency workers will decrease. Work is taking place to work with agencies to create a block contract to stop the use of single workers at a higher cost.  </w:t>
      </w:r>
    </w:p>
    <w:p w14:paraId="3364A3A8" w14:textId="77777777" w:rsidR="00D10794" w:rsidRPr="00B90474" w:rsidRDefault="00D10794" w:rsidP="00D10794">
      <w:pPr>
        <w:spacing w:after="0"/>
        <w:contextualSpacing/>
        <w:rPr>
          <w:rFonts w:cs="Arial"/>
          <w:highlight w:val="green"/>
        </w:rPr>
      </w:pPr>
    </w:p>
    <w:p w14:paraId="36E74357" w14:textId="77777777" w:rsidR="00D10794" w:rsidRPr="00A97B9F" w:rsidRDefault="00D10794" w:rsidP="00D10794">
      <w:pPr>
        <w:spacing w:after="0"/>
        <w:contextualSpacing/>
        <w:rPr>
          <w:rFonts w:cs="Arial"/>
        </w:rPr>
      </w:pPr>
      <w:r w:rsidRPr="00A97B9F">
        <w:rPr>
          <w:rFonts w:cs="Arial"/>
        </w:rPr>
        <w:t>Agency residential (including leaving care) and fostering placements overspent by £481,000</w:t>
      </w:r>
      <w:r>
        <w:rPr>
          <w:rFonts w:cs="Arial"/>
        </w:rPr>
        <w:t>, which is offset by underspends on in-house fostering allowances in Fostering, Adoption, Residential and YOT</w:t>
      </w:r>
      <w:r w:rsidRPr="00A97B9F">
        <w:rPr>
          <w:rFonts w:cs="Arial"/>
        </w:rPr>
        <w:t xml:space="preserve">.  </w:t>
      </w:r>
    </w:p>
    <w:p w14:paraId="610F3C3E" w14:textId="77777777" w:rsidR="00D10794" w:rsidRPr="00B90474" w:rsidRDefault="00D10794" w:rsidP="00D10794">
      <w:pPr>
        <w:spacing w:after="0"/>
        <w:contextualSpacing/>
        <w:rPr>
          <w:rFonts w:cs="Arial"/>
          <w:highlight w:val="green"/>
        </w:rPr>
      </w:pPr>
    </w:p>
    <w:p w14:paraId="2086F5FC" w14:textId="77777777" w:rsidR="00D10794" w:rsidRPr="00A97B9F" w:rsidRDefault="00D10794" w:rsidP="00D10794">
      <w:pPr>
        <w:spacing w:after="0"/>
        <w:contextualSpacing/>
        <w:rPr>
          <w:rFonts w:cs="Arial"/>
        </w:rPr>
      </w:pPr>
      <w:r w:rsidRPr="00A97B9F">
        <w:rPr>
          <w:rFonts w:cs="Arial"/>
        </w:rPr>
        <w:t xml:space="preserve">It had been anticipated that as lockdown restrictions are lifted that this could impact on demand for services and additional costs were reflected in the </w:t>
      </w:r>
      <w:r>
        <w:rPr>
          <w:rFonts w:cs="Arial"/>
        </w:rPr>
        <w:t xml:space="preserve">previous </w:t>
      </w:r>
      <w:r w:rsidRPr="00A97B9F">
        <w:rPr>
          <w:rFonts w:cs="Arial"/>
        </w:rPr>
        <w:t>forecast</w:t>
      </w:r>
      <w:r>
        <w:rPr>
          <w:rFonts w:cs="Arial"/>
        </w:rPr>
        <w:t>s</w:t>
      </w:r>
      <w:r w:rsidRPr="00A97B9F">
        <w:rPr>
          <w:rFonts w:cs="Arial"/>
        </w:rPr>
        <w:t xml:space="preserve"> for agency placements, however these have not materialised. Additional demand is anticipated by the service in 2021/22, with some additional funding built into the budget, however at this stage it is very difficult to quantify the financial impact in the next financial year and beyond. </w:t>
      </w:r>
    </w:p>
    <w:p w14:paraId="749787C1" w14:textId="77777777" w:rsidR="00D10794" w:rsidRPr="00B90474" w:rsidRDefault="00D10794" w:rsidP="00D10794">
      <w:pPr>
        <w:spacing w:after="0"/>
        <w:contextualSpacing/>
        <w:rPr>
          <w:rFonts w:cs="Arial"/>
          <w:highlight w:val="green"/>
        </w:rPr>
      </w:pPr>
    </w:p>
    <w:p w14:paraId="743FF4B1" w14:textId="3EF42F5F" w:rsidR="00D10794" w:rsidRPr="00203F6C" w:rsidRDefault="00D10794" w:rsidP="00D10794">
      <w:pPr>
        <w:spacing w:after="0"/>
        <w:contextualSpacing/>
        <w:rPr>
          <w:rFonts w:cs="Arial"/>
        </w:rPr>
      </w:pPr>
      <w:r w:rsidRPr="00203F6C">
        <w:rPr>
          <w:rFonts w:cs="Arial"/>
        </w:rPr>
        <w:t xml:space="preserve">Family support, which covers Special Guardianship Orders (SGO's), assistance to families and other payments, underspent by £31,000. This contains an overspend of £457,000 on SGOs due to higher than expected growth and delayed delivery of savings. This is offset by underspends on assistance to families and regular payments. </w:t>
      </w:r>
      <w:r w:rsidR="00C12E36">
        <w:rPr>
          <w:rFonts w:cs="Arial"/>
        </w:rPr>
        <w:t xml:space="preserve">Evidence is clear that children achieve better outcomes when they </w:t>
      </w:r>
      <w:proofErr w:type="gramStart"/>
      <w:r w:rsidR="00C12E36">
        <w:rPr>
          <w:rFonts w:cs="Arial"/>
        </w:rPr>
        <w:t>are able to</w:t>
      </w:r>
      <w:proofErr w:type="gramEnd"/>
      <w:r w:rsidR="00C12E36">
        <w:rPr>
          <w:rFonts w:cs="Arial"/>
        </w:rPr>
        <w:t xml:space="preserve"> remain in their family safely. The new Family Safeguarding Model's priority to support families to care for their grandchildren/nephews/cousins. This supports the reduction in cost in the Independent Fostering arena.</w:t>
      </w:r>
    </w:p>
    <w:p w14:paraId="549B14A0" w14:textId="77777777" w:rsidR="00D10794" w:rsidRPr="00203F6C" w:rsidRDefault="00D10794" w:rsidP="00D10794">
      <w:pPr>
        <w:spacing w:after="0"/>
        <w:rPr>
          <w:rFonts w:cs="Arial"/>
        </w:rPr>
      </w:pPr>
    </w:p>
    <w:p w14:paraId="5C730E5F" w14:textId="77777777" w:rsidR="00D10794" w:rsidRPr="00203F6C" w:rsidRDefault="00D10794" w:rsidP="00D10794">
      <w:pPr>
        <w:spacing w:after="0"/>
        <w:rPr>
          <w:rFonts w:cs="Arial"/>
        </w:rPr>
      </w:pPr>
      <w:r w:rsidRPr="00203F6C">
        <w:rPr>
          <w:rFonts w:cs="Arial"/>
        </w:rPr>
        <w:t>There are other minor underspends and overspends across the service.</w:t>
      </w:r>
    </w:p>
    <w:p w14:paraId="44FB40F5" w14:textId="77777777" w:rsidR="00D10794" w:rsidRPr="00B90474" w:rsidRDefault="00D10794" w:rsidP="00D10794">
      <w:pPr>
        <w:spacing w:after="0"/>
        <w:rPr>
          <w:rFonts w:cs="Arial"/>
          <w:highlight w:val="green"/>
        </w:rPr>
      </w:pPr>
    </w:p>
    <w:p w14:paraId="75F7C6CD" w14:textId="77777777" w:rsidR="00D10794" w:rsidRPr="00351593" w:rsidRDefault="00D10794" w:rsidP="00D10794">
      <w:pPr>
        <w:tabs>
          <w:tab w:val="left" w:pos="851"/>
          <w:tab w:val="left" w:pos="1418"/>
        </w:tabs>
        <w:spacing w:after="0"/>
        <w:contextualSpacing/>
        <w:rPr>
          <w:rFonts w:cs="Arial"/>
          <w:b/>
        </w:rPr>
      </w:pPr>
      <w:r w:rsidRPr="00351593">
        <w:rPr>
          <w:rFonts w:cs="Arial"/>
          <w:b/>
        </w:rPr>
        <w:t>Fostering, Adoption Residential and Youth Offending Team – overspend £49,000</w:t>
      </w:r>
    </w:p>
    <w:p w14:paraId="3D929179" w14:textId="77777777" w:rsidR="00D10794" w:rsidRDefault="00D10794" w:rsidP="00D10794">
      <w:pPr>
        <w:tabs>
          <w:tab w:val="left" w:pos="851"/>
          <w:tab w:val="left" w:pos="1418"/>
        </w:tabs>
        <w:spacing w:after="0"/>
        <w:contextualSpacing/>
        <w:rPr>
          <w:rFonts w:cs="Arial"/>
        </w:rPr>
      </w:pPr>
      <w:r w:rsidRPr="00351593">
        <w:rPr>
          <w:rFonts w:cs="Arial"/>
        </w:rPr>
        <w:t xml:space="preserve">This position reflects an overspend within the residential in-house provision (including overnight short breaks) of £857,000 which related to staff costs, £365,000 of which is due to Covid-19 emergency provision and the remainder relates to additional staff costs to support </w:t>
      </w:r>
      <w:r w:rsidRPr="00351593">
        <w:rPr>
          <w:rFonts w:eastAsia="Arial" w:cs="Arial"/>
        </w:rPr>
        <w:t>outreach/edge of care services and welfare checks</w:t>
      </w:r>
      <w:r w:rsidRPr="00351593">
        <w:rPr>
          <w:rFonts w:cs="Arial"/>
        </w:rPr>
        <w:t>.</w:t>
      </w:r>
      <w:r>
        <w:rPr>
          <w:rFonts w:cs="Arial"/>
        </w:rPr>
        <w:t xml:space="preserve"> In addition, the Outreach Service overspent by £329,000 due to staffing costs, some of which are expected to be offset by a reduction in agency placements.</w:t>
      </w:r>
    </w:p>
    <w:p w14:paraId="3AE3911F" w14:textId="77777777" w:rsidR="00D10794" w:rsidRDefault="00D10794" w:rsidP="00D10794">
      <w:pPr>
        <w:tabs>
          <w:tab w:val="left" w:pos="851"/>
          <w:tab w:val="left" w:pos="1418"/>
        </w:tabs>
        <w:spacing w:after="0"/>
        <w:contextualSpacing/>
        <w:rPr>
          <w:rFonts w:cs="Arial"/>
        </w:rPr>
      </w:pPr>
    </w:p>
    <w:p w14:paraId="474314A6" w14:textId="77777777" w:rsidR="00D10794" w:rsidRDefault="00D10794" w:rsidP="00D10794">
      <w:pPr>
        <w:tabs>
          <w:tab w:val="left" w:pos="851"/>
          <w:tab w:val="left" w:pos="1418"/>
        </w:tabs>
        <w:spacing w:after="0"/>
        <w:contextualSpacing/>
        <w:rPr>
          <w:rFonts w:cs="Arial"/>
        </w:rPr>
      </w:pPr>
      <w:r>
        <w:rPr>
          <w:rFonts w:cs="Arial"/>
        </w:rPr>
        <w:t>The overspends noted above are offset by underspends within the F</w:t>
      </w:r>
      <w:r w:rsidRPr="00351593">
        <w:rPr>
          <w:rFonts w:cs="Arial"/>
        </w:rPr>
        <w:t>ostering Service (£519,000) and Adoption Service (£453,000). There are also further smaller underspends and overspends across other elements of the service.</w:t>
      </w:r>
    </w:p>
    <w:p w14:paraId="737BFB98" w14:textId="77777777" w:rsidR="00D10794" w:rsidRDefault="00D10794" w:rsidP="00D10794">
      <w:pPr>
        <w:tabs>
          <w:tab w:val="left" w:pos="851"/>
          <w:tab w:val="left" w:pos="1418"/>
        </w:tabs>
        <w:spacing w:after="0"/>
        <w:contextualSpacing/>
        <w:rPr>
          <w:rFonts w:cs="Arial"/>
        </w:rPr>
      </w:pPr>
    </w:p>
    <w:p w14:paraId="766FE782" w14:textId="77777777" w:rsidR="00D10794" w:rsidRDefault="00D10794" w:rsidP="00D10794">
      <w:pPr>
        <w:spacing w:after="0"/>
        <w:rPr>
          <w:b/>
          <w:bCs/>
          <w:i/>
          <w:iCs/>
        </w:rPr>
      </w:pPr>
      <w:r w:rsidRPr="00351593">
        <w:rPr>
          <w:rFonts w:eastAsia="Arial" w:cs="Arial"/>
          <w:b/>
          <w:bCs/>
          <w:i/>
          <w:iCs/>
        </w:rPr>
        <w:t>Education and Skills – Underspend £24,000</w:t>
      </w:r>
    </w:p>
    <w:p w14:paraId="3E1158A4" w14:textId="77777777" w:rsidR="00D10794" w:rsidRPr="00351593" w:rsidRDefault="00D10794" w:rsidP="00D10794">
      <w:pPr>
        <w:spacing w:after="0"/>
        <w:rPr>
          <w:b/>
          <w:bCs/>
          <w:i/>
          <w:iCs/>
        </w:rPr>
      </w:pPr>
    </w:p>
    <w:p w14:paraId="3A827381" w14:textId="77777777" w:rsidR="00D10794" w:rsidRPr="00351593" w:rsidRDefault="00D10794" w:rsidP="00D10794">
      <w:pPr>
        <w:spacing w:after="0"/>
        <w:contextualSpacing/>
        <w:rPr>
          <w:rFonts w:cs="Arial"/>
          <w:b/>
        </w:rPr>
      </w:pPr>
      <w:r w:rsidRPr="00351593">
        <w:rPr>
          <w:rFonts w:cs="Arial"/>
          <w:b/>
        </w:rPr>
        <w:t xml:space="preserve">Children Family and Wellbeing Service (CFW) – </w:t>
      </w:r>
      <w:r w:rsidRPr="00351593">
        <w:rPr>
          <w:rFonts w:eastAsia="Arial" w:cs="Arial"/>
          <w:b/>
          <w:bCs/>
        </w:rPr>
        <w:t>Underspend £635,000</w:t>
      </w:r>
    </w:p>
    <w:p w14:paraId="3995F33B" w14:textId="77777777" w:rsidR="00D10794" w:rsidRPr="00D67902" w:rsidRDefault="00D10794" w:rsidP="00D10794">
      <w:pPr>
        <w:rPr>
          <w:rFonts w:cs="Arial"/>
        </w:rPr>
      </w:pPr>
      <w:r w:rsidRPr="00351593">
        <w:rPr>
          <w:rFonts w:cs="Arial"/>
        </w:rPr>
        <w:t xml:space="preserve">The position reflects staffing underspends of £1.383m due to continuing levels of staff vacancies.  However, the current staffing levels mean the service is having to adapt their level of service delivery accordingly and they will need to increase staff activity to support family safeguarding.  </w:t>
      </w:r>
      <w:r w:rsidRPr="00D67902">
        <w:rPr>
          <w:rFonts w:cs="Arial"/>
        </w:rPr>
        <w:t xml:space="preserve">A robust action plan is in place to address </w:t>
      </w:r>
      <w:proofErr w:type="gramStart"/>
      <w:r w:rsidRPr="00D67902">
        <w:rPr>
          <w:rFonts w:cs="Arial"/>
        </w:rPr>
        <w:t>a number of</w:t>
      </w:r>
      <w:proofErr w:type="gramEnd"/>
      <w:r w:rsidRPr="00D67902">
        <w:rPr>
          <w:rFonts w:cs="Arial"/>
        </w:rPr>
        <w:t xml:space="preserve"> key areas for development and improvement with a clear area of focus on maximising capacity within the workforce. Significant traction has already been made to reduce the staff vacancies from 16% in January</w:t>
      </w:r>
      <w:r>
        <w:rPr>
          <w:rFonts w:cs="Arial"/>
        </w:rPr>
        <w:t xml:space="preserve"> 20</w:t>
      </w:r>
      <w:r w:rsidRPr="00D67902">
        <w:rPr>
          <w:rFonts w:cs="Arial"/>
        </w:rPr>
        <w:t>21 to 9% in May</w:t>
      </w:r>
      <w:r>
        <w:rPr>
          <w:rFonts w:cs="Arial"/>
        </w:rPr>
        <w:t xml:space="preserve"> 20</w:t>
      </w:r>
      <w:r w:rsidRPr="00D67902">
        <w:rPr>
          <w:rFonts w:cs="Arial"/>
        </w:rPr>
        <w:t>21, with further recruitment ongoing.  Part of the action plan also addresses staff wellbeing support. A review is underway on operating personnel agreements for staff identified with reduced hours/capacity, to establish the continued fitness for purpose of these arrangements.  This process has already unlocked an additional 18% caseload capacity, with further review work to complete on more complex personnel cases.</w:t>
      </w:r>
    </w:p>
    <w:p w14:paraId="48A0F054" w14:textId="77777777" w:rsidR="00D10794" w:rsidRDefault="00D10794" w:rsidP="00D10794">
      <w:pPr>
        <w:spacing w:after="0"/>
        <w:contextualSpacing/>
        <w:rPr>
          <w:rFonts w:cs="Arial"/>
        </w:rPr>
      </w:pPr>
    </w:p>
    <w:p w14:paraId="6130B4CF" w14:textId="77777777" w:rsidR="00D10794" w:rsidRDefault="00D10794" w:rsidP="00D10794">
      <w:pPr>
        <w:spacing w:after="0"/>
        <w:contextualSpacing/>
        <w:rPr>
          <w:rFonts w:cs="Arial"/>
        </w:rPr>
      </w:pPr>
      <w:r w:rsidRPr="00351593">
        <w:rPr>
          <w:rFonts w:cs="Arial"/>
        </w:rPr>
        <w:t xml:space="preserve">Further underspends are reported due to over-recovery of budgeted income for the troubled </w:t>
      </w:r>
      <w:proofErr w:type="gramStart"/>
      <w:r w:rsidRPr="00351593">
        <w:rPr>
          <w:rFonts w:cs="Arial"/>
        </w:rPr>
        <w:t>families</w:t>
      </w:r>
      <w:proofErr w:type="gramEnd"/>
      <w:r w:rsidRPr="00351593">
        <w:rPr>
          <w:rFonts w:cs="Arial"/>
        </w:rPr>
        <w:t xml:space="preserve"> unit and other minor underspends across the service.</w:t>
      </w:r>
    </w:p>
    <w:p w14:paraId="2495516D" w14:textId="77777777" w:rsidR="00D10794" w:rsidRDefault="00D10794" w:rsidP="00D10794">
      <w:pPr>
        <w:spacing w:after="0"/>
        <w:contextualSpacing/>
        <w:rPr>
          <w:rFonts w:cs="Arial"/>
        </w:rPr>
      </w:pPr>
    </w:p>
    <w:p w14:paraId="0F618F7A" w14:textId="77777777" w:rsidR="00D10794" w:rsidRPr="00351593" w:rsidRDefault="00D10794" w:rsidP="00D10794">
      <w:pPr>
        <w:spacing w:after="0"/>
        <w:contextualSpacing/>
        <w:rPr>
          <w:rFonts w:cs="Arial"/>
        </w:rPr>
      </w:pPr>
      <w:r>
        <w:rPr>
          <w:rFonts w:cs="Arial"/>
        </w:rPr>
        <w:t xml:space="preserve">The underspend is offset by a contribution to reserves to support development and investment within the service to support the launch of the Early Help assessment tool </w:t>
      </w:r>
      <w:proofErr w:type="gramStart"/>
      <w:r>
        <w:rPr>
          <w:rFonts w:cs="Arial"/>
        </w:rPr>
        <w:t>and also</w:t>
      </w:r>
      <w:proofErr w:type="gramEnd"/>
      <w:r>
        <w:rPr>
          <w:rFonts w:cs="Arial"/>
        </w:rPr>
        <w:t xml:space="preserve"> further investment in the Youth Service. </w:t>
      </w:r>
    </w:p>
    <w:p w14:paraId="2CC9FCBC" w14:textId="77777777" w:rsidR="00D10794" w:rsidRPr="00160825" w:rsidRDefault="00D10794" w:rsidP="00D10794">
      <w:pPr>
        <w:spacing w:after="0"/>
        <w:contextualSpacing/>
        <w:rPr>
          <w:rFonts w:cs="Arial"/>
          <w:b/>
        </w:rPr>
      </w:pPr>
    </w:p>
    <w:p w14:paraId="5BF181BA" w14:textId="77777777" w:rsidR="00D10794" w:rsidRPr="00160825" w:rsidRDefault="00D10794" w:rsidP="00D10794">
      <w:pPr>
        <w:spacing w:after="0"/>
        <w:contextualSpacing/>
        <w:rPr>
          <w:rFonts w:cs="Arial"/>
          <w:b/>
        </w:rPr>
      </w:pPr>
      <w:r w:rsidRPr="00160825">
        <w:rPr>
          <w:rFonts w:cs="Arial"/>
          <w:b/>
        </w:rPr>
        <w:t xml:space="preserve">Education Improvement – </w:t>
      </w:r>
      <w:r w:rsidRPr="00160825">
        <w:rPr>
          <w:rFonts w:eastAsia="Arial" w:cs="Arial"/>
          <w:b/>
          <w:bCs/>
        </w:rPr>
        <w:t>Overspend £672,000</w:t>
      </w:r>
    </w:p>
    <w:p w14:paraId="5B0A96B5" w14:textId="77777777" w:rsidR="00D10794" w:rsidRPr="00160825" w:rsidRDefault="00D10794" w:rsidP="00D10794">
      <w:pPr>
        <w:spacing w:after="0"/>
        <w:contextualSpacing/>
        <w:rPr>
          <w:rFonts w:cs="Arial"/>
        </w:rPr>
      </w:pPr>
      <w:r w:rsidRPr="00160825">
        <w:rPr>
          <w:rFonts w:cs="Arial"/>
        </w:rPr>
        <w:t xml:space="preserve">Traded services have overspent by £260,000 which relates to the under recovery of income partly offset by a reduction in expenditure due to the impact of Covid-19.  </w:t>
      </w:r>
    </w:p>
    <w:p w14:paraId="40448B4D" w14:textId="77777777" w:rsidR="00D10794" w:rsidRPr="00B90474" w:rsidRDefault="00D10794" w:rsidP="00D10794">
      <w:pPr>
        <w:spacing w:after="0"/>
        <w:contextualSpacing/>
        <w:rPr>
          <w:rFonts w:cs="Arial"/>
          <w:highlight w:val="green"/>
        </w:rPr>
      </w:pPr>
    </w:p>
    <w:p w14:paraId="20A0D1E1" w14:textId="77777777" w:rsidR="00D10794" w:rsidRPr="00160825" w:rsidRDefault="00D10794" w:rsidP="00D10794">
      <w:pPr>
        <w:spacing w:after="0"/>
        <w:contextualSpacing/>
        <w:rPr>
          <w:rFonts w:cs="Arial"/>
        </w:rPr>
      </w:pPr>
      <w:r w:rsidRPr="00160825">
        <w:rPr>
          <w:rFonts w:cs="Arial"/>
        </w:rPr>
        <w:t xml:space="preserve">The schools advisory service overspent by £118,000. This is as a result of under recovery of income partly offset by a reduction in expenditure both in relation to the impact of Covid-19 with the closure of schools/settings during lockdown and the continuing pressure of not delivering face to face training/services. </w:t>
      </w:r>
      <w:bookmarkStart w:id="4" w:name="_Hlk71876479"/>
      <w:r w:rsidRPr="00160825">
        <w:rPr>
          <w:rFonts w:cs="Arial"/>
        </w:rPr>
        <w:t xml:space="preserve">The service has claimed 75% of the budget pressure from the sales, fees and charges scheme offered to local authorities due to the impact of Covid-19.                                        </w:t>
      </w:r>
    </w:p>
    <w:bookmarkEnd w:id="4"/>
    <w:p w14:paraId="54A07476" w14:textId="77777777" w:rsidR="00D10794" w:rsidRPr="00160825" w:rsidRDefault="00D10794" w:rsidP="00D10794">
      <w:pPr>
        <w:spacing w:after="0"/>
        <w:contextualSpacing/>
        <w:rPr>
          <w:rFonts w:cs="Arial"/>
        </w:rPr>
      </w:pPr>
    </w:p>
    <w:p w14:paraId="2AA0B6E6" w14:textId="77777777" w:rsidR="00D10794" w:rsidRPr="00160825" w:rsidRDefault="00D10794" w:rsidP="00D10794">
      <w:pPr>
        <w:spacing w:after="0"/>
        <w:contextualSpacing/>
        <w:rPr>
          <w:rFonts w:cs="Arial"/>
        </w:rPr>
      </w:pPr>
      <w:r>
        <w:rPr>
          <w:rFonts w:cs="Arial"/>
        </w:rPr>
        <w:t>F</w:t>
      </w:r>
      <w:r w:rsidRPr="00160825">
        <w:rPr>
          <w:rFonts w:cs="Arial"/>
        </w:rPr>
        <w:t>urther overspends across the service</w:t>
      </w:r>
      <w:r>
        <w:rPr>
          <w:rFonts w:cs="Arial"/>
        </w:rPr>
        <w:t xml:space="preserve"> are</w:t>
      </w:r>
      <w:r w:rsidRPr="00160825">
        <w:rPr>
          <w:rFonts w:cs="Arial"/>
        </w:rPr>
        <w:t xml:space="preserve"> </w:t>
      </w:r>
      <w:r>
        <w:rPr>
          <w:rFonts w:cs="Arial"/>
        </w:rPr>
        <w:t xml:space="preserve">mainly </w:t>
      </w:r>
      <w:r w:rsidRPr="00160825">
        <w:rPr>
          <w:rFonts w:cs="Arial"/>
        </w:rPr>
        <w:t>due to under recovery of income</w:t>
      </w:r>
      <w:r>
        <w:rPr>
          <w:rFonts w:cs="Arial"/>
        </w:rPr>
        <w:t xml:space="preserve"> again t</w:t>
      </w:r>
      <w:r w:rsidRPr="00160825">
        <w:rPr>
          <w:rFonts w:cs="Arial"/>
        </w:rPr>
        <w:t xml:space="preserve">his is </w:t>
      </w:r>
      <w:proofErr w:type="gramStart"/>
      <w:r w:rsidRPr="00160825">
        <w:rPr>
          <w:rFonts w:cs="Arial"/>
        </w:rPr>
        <w:t>as a result of</w:t>
      </w:r>
      <w:proofErr w:type="gramEnd"/>
      <w:r w:rsidRPr="00160825">
        <w:rPr>
          <w:rFonts w:cs="Arial"/>
        </w:rPr>
        <w:t xml:space="preserve"> </w:t>
      </w:r>
      <w:r>
        <w:rPr>
          <w:rFonts w:cs="Arial"/>
        </w:rPr>
        <w:t>education settings being closed.</w:t>
      </w:r>
    </w:p>
    <w:p w14:paraId="72955BD6" w14:textId="77777777" w:rsidR="00D10794" w:rsidRPr="00160825" w:rsidRDefault="00D10794" w:rsidP="00D10794">
      <w:pPr>
        <w:spacing w:after="0"/>
        <w:contextualSpacing/>
        <w:rPr>
          <w:rFonts w:cs="Arial"/>
          <w:b/>
        </w:rPr>
      </w:pPr>
      <w:r w:rsidRPr="00160825">
        <w:rPr>
          <w:rFonts w:cs="Arial"/>
          <w:b/>
        </w:rPr>
        <w:t xml:space="preserve">                    </w:t>
      </w:r>
      <w:r w:rsidRPr="00160825">
        <w:rPr>
          <w:rFonts w:cs="Arial"/>
        </w:rPr>
        <w:tab/>
      </w:r>
      <w:r w:rsidRPr="00160825">
        <w:rPr>
          <w:rFonts w:cs="Arial"/>
        </w:rPr>
        <w:tab/>
      </w:r>
    </w:p>
    <w:p w14:paraId="66F1091E" w14:textId="77777777" w:rsidR="00D10794" w:rsidRPr="00160825" w:rsidRDefault="00D10794" w:rsidP="00D10794">
      <w:pPr>
        <w:tabs>
          <w:tab w:val="left" w:pos="851"/>
          <w:tab w:val="left" w:pos="1418"/>
        </w:tabs>
        <w:spacing w:after="0"/>
        <w:contextualSpacing/>
        <w:rPr>
          <w:rFonts w:cs="Arial"/>
          <w:b/>
        </w:rPr>
      </w:pPr>
      <w:r w:rsidRPr="00160825">
        <w:rPr>
          <w:rFonts w:cs="Arial"/>
          <w:b/>
          <w:bCs/>
        </w:rPr>
        <w:t>Inclusion – under</w:t>
      </w:r>
      <w:r w:rsidRPr="00160825">
        <w:rPr>
          <w:rFonts w:cs="Arial"/>
          <w:b/>
        </w:rPr>
        <w:t>spend £385,000</w:t>
      </w:r>
    </w:p>
    <w:p w14:paraId="47F79EC9" w14:textId="77777777" w:rsidR="00D10794" w:rsidRPr="00160825" w:rsidRDefault="00D10794" w:rsidP="00D10794">
      <w:pPr>
        <w:tabs>
          <w:tab w:val="left" w:pos="851"/>
          <w:tab w:val="left" w:pos="1418"/>
        </w:tabs>
        <w:spacing w:after="0"/>
        <w:contextualSpacing/>
        <w:rPr>
          <w:rFonts w:cs="Arial"/>
        </w:rPr>
      </w:pPr>
      <w:r w:rsidRPr="00160825">
        <w:rPr>
          <w:rFonts w:cs="Arial"/>
        </w:rPr>
        <w:t xml:space="preserve">Underspends of £990,000 are reported across </w:t>
      </w:r>
      <w:proofErr w:type="gramStart"/>
      <w:r w:rsidRPr="00160825">
        <w:rPr>
          <w:rFonts w:cs="Arial"/>
        </w:rPr>
        <w:t>a number of</w:t>
      </w:r>
      <w:proofErr w:type="gramEnd"/>
      <w:r w:rsidRPr="00160825">
        <w:rPr>
          <w:rFonts w:cs="Arial"/>
        </w:rPr>
        <w:t xml:space="preserve"> teams which mainly relates to staff costs.  However, there are offsetting pressures due to an increase in demand for agency residential and fostering placements and family support for children with disabilities and direct payments.</w:t>
      </w:r>
    </w:p>
    <w:p w14:paraId="01936B87" w14:textId="77777777" w:rsidR="00D10794" w:rsidRPr="00B90474" w:rsidRDefault="00D10794" w:rsidP="00D10794">
      <w:pPr>
        <w:tabs>
          <w:tab w:val="left" w:pos="851"/>
          <w:tab w:val="left" w:pos="1418"/>
        </w:tabs>
        <w:spacing w:after="0"/>
        <w:contextualSpacing/>
        <w:rPr>
          <w:rFonts w:cs="Arial"/>
          <w:highlight w:val="green"/>
        </w:rPr>
      </w:pPr>
      <w:r w:rsidRPr="00B90474">
        <w:rPr>
          <w:rFonts w:cs="Arial"/>
          <w:highlight w:val="green"/>
        </w:rPr>
        <w:t xml:space="preserve"> </w:t>
      </w:r>
    </w:p>
    <w:p w14:paraId="0F90B9BE" w14:textId="77777777" w:rsidR="00D10794" w:rsidRPr="00B90474" w:rsidRDefault="00D10794" w:rsidP="00D10794">
      <w:pPr>
        <w:spacing w:after="0"/>
        <w:contextualSpacing/>
        <w:rPr>
          <w:rFonts w:cs="Arial"/>
          <w:b/>
          <w:highlight w:val="green"/>
        </w:rPr>
      </w:pPr>
      <w:r w:rsidRPr="0093389C">
        <w:rPr>
          <w:rFonts w:cs="Arial"/>
          <w:b/>
        </w:rPr>
        <w:t>Libraries, Museums, Culture and Archives (LMCA) – overspend £324,000</w:t>
      </w:r>
    </w:p>
    <w:p w14:paraId="3E325B22" w14:textId="77777777" w:rsidR="00D10794" w:rsidRDefault="00D10794" w:rsidP="00D10794">
      <w:pPr>
        <w:spacing w:after="0"/>
        <w:contextualSpacing/>
        <w:rPr>
          <w:rFonts w:cs="Arial"/>
        </w:rPr>
      </w:pPr>
      <w:r w:rsidRPr="0093389C">
        <w:rPr>
          <w:rFonts w:cs="Arial"/>
        </w:rPr>
        <w:t xml:space="preserve">Overspends of £384,000 and £505,000 are reported for outdoor education and Lancashire music service respectively. These overspends relate to the under recovery of income partly offset by a reduction in expenditure due to the impact of Covid-19 and the consequent lockdown and social distancing measures.  </w:t>
      </w:r>
      <w:r w:rsidRPr="00160825">
        <w:rPr>
          <w:rFonts w:cs="Arial"/>
        </w:rPr>
        <w:t xml:space="preserve">The service has </w:t>
      </w:r>
      <w:r w:rsidRPr="0093389C">
        <w:rPr>
          <w:rFonts w:cs="Arial"/>
        </w:rPr>
        <w:t>claimed 75% of the budget pressure from the sales, fees and charges scheme offered to local authorities due to the impact of Covid-19, with the position reported net of the claims.</w:t>
      </w:r>
      <w:r>
        <w:rPr>
          <w:rFonts w:cs="Arial"/>
        </w:rPr>
        <w:t xml:space="preserve"> The above overspend is offset by the </w:t>
      </w:r>
      <w:r w:rsidRPr="002365BD">
        <w:rPr>
          <w:lang w:eastAsia="en-GB"/>
        </w:rPr>
        <w:t>Libraries</w:t>
      </w:r>
      <w:r>
        <w:rPr>
          <w:lang w:eastAsia="en-GB"/>
        </w:rPr>
        <w:t>,</w:t>
      </w:r>
      <w:r w:rsidRPr="002365BD">
        <w:rPr>
          <w:lang w:eastAsia="en-GB"/>
        </w:rPr>
        <w:t xml:space="preserve"> Museums</w:t>
      </w:r>
      <w:r>
        <w:rPr>
          <w:lang w:eastAsia="en-GB"/>
        </w:rPr>
        <w:t>, Cultural and Archives service which is</w:t>
      </w:r>
      <w:r w:rsidRPr="002365BD">
        <w:rPr>
          <w:lang w:eastAsia="en-GB"/>
        </w:rPr>
        <w:t xml:space="preserve"> underspent by £56</w:t>
      </w:r>
      <w:r>
        <w:rPr>
          <w:lang w:eastAsia="en-GB"/>
        </w:rPr>
        <w:t>5</w:t>
      </w:r>
      <w:r w:rsidRPr="002365BD">
        <w:rPr>
          <w:lang w:eastAsia="en-GB"/>
        </w:rPr>
        <w:t>,000</w:t>
      </w:r>
      <w:r>
        <w:rPr>
          <w:lang w:eastAsia="en-GB"/>
        </w:rPr>
        <w:t xml:space="preserve"> this is largely due to staff and non-staff costs. A </w:t>
      </w:r>
      <w:r w:rsidRPr="0093389C">
        <w:rPr>
          <w:rFonts w:cs="Arial"/>
        </w:rPr>
        <w:t xml:space="preserve">phased reopening of sites is under way but with restrictions in line with government guidance. Outdoor Education Centres are currently being used to provide emergency accommodation for some looked after children during the current pandemic.  Services have been mitigating losses wherever possible by offering their services online. </w:t>
      </w:r>
      <w:r>
        <w:rPr>
          <w:rFonts w:cs="Arial"/>
        </w:rPr>
        <w:t xml:space="preserve">  </w:t>
      </w:r>
    </w:p>
    <w:p w14:paraId="2CDEF3AB" w14:textId="77777777" w:rsidR="00D10794" w:rsidRDefault="00D10794" w:rsidP="00D10794">
      <w:pPr>
        <w:spacing w:after="0"/>
        <w:contextualSpacing/>
        <w:rPr>
          <w:rFonts w:cs="Arial"/>
        </w:rPr>
      </w:pPr>
    </w:p>
    <w:p w14:paraId="0036ADDC" w14:textId="77777777" w:rsidR="00D10794" w:rsidRPr="0093389C" w:rsidRDefault="00D10794" w:rsidP="00D10794">
      <w:pPr>
        <w:spacing w:line="257" w:lineRule="auto"/>
        <w:rPr>
          <w:i/>
          <w:iCs/>
        </w:rPr>
      </w:pPr>
      <w:r w:rsidRPr="0093389C">
        <w:rPr>
          <w:rFonts w:eastAsia="Arial" w:cs="Arial"/>
          <w:b/>
          <w:bCs/>
          <w:i/>
          <w:iCs/>
        </w:rPr>
        <w:t>Education and Children's Services – Overspend £3.747m</w:t>
      </w:r>
    </w:p>
    <w:p w14:paraId="4CB87004" w14:textId="77777777" w:rsidR="00D10794" w:rsidRPr="00B90474" w:rsidRDefault="00D10794" w:rsidP="00D10794">
      <w:pPr>
        <w:spacing w:after="0"/>
        <w:rPr>
          <w:rFonts w:cs="Arial"/>
          <w:highlight w:val="green"/>
        </w:rPr>
      </w:pPr>
    </w:p>
    <w:p w14:paraId="5AAE31E7" w14:textId="77777777" w:rsidR="00D10794" w:rsidRPr="0093389C" w:rsidRDefault="00D10794" w:rsidP="00D10794">
      <w:pPr>
        <w:spacing w:after="0"/>
        <w:rPr>
          <w:rFonts w:cs="Arial"/>
          <w:b/>
        </w:rPr>
      </w:pPr>
      <w:r w:rsidRPr="0093389C">
        <w:rPr>
          <w:rFonts w:cs="Arial"/>
          <w:b/>
        </w:rPr>
        <w:t>Quality Assurance, Inspection and Safeguarding – underspend £1.086m</w:t>
      </w:r>
    </w:p>
    <w:p w14:paraId="67BD5B15" w14:textId="77777777" w:rsidR="00D10794" w:rsidRDefault="00D10794" w:rsidP="00D10794">
      <w:pPr>
        <w:spacing w:after="0"/>
        <w:rPr>
          <w:rFonts w:cs="Arial"/>
        </w:rPr>
      </w:pPr>
      <w:r w:rsidRPr="0093389C">
        <w:rPr>
          <w:rFonts w:cs="Arial"/>
        </w:rPr>
        <w:t xml:space="preserve">This position predominantly relates to staff costs across the service although the majority of this does relate to the newly restructured Business Support function which is still undertaking recruitment to fill vacancies. This underspend is offset by smaller overspends on non-staff costs (supplies, </w:t>
      </w:r>
      <w:proofErr w:type="gramStart"/>
      <w:r w:rsidRPr="0093389C">
        <w:rPr>
          <w:rFonts w:cs="Arial"/>
        </w:rPr>
        <w:t>services</w:t>
      </w:r>
      <w:proofErr w:type="gramEnd"/>
      <w:r w:rsidRPr="0093389C">
        <w:rPr>
          <w:rFonts w:cs="Arial"/>
        </w:rPr>
        <w:t xml:space="preserve"> and travel) across the service and will be absorbed during future months as the demand for the service will grow in line with other predicted social care demands.</w:t>
      </w:r>
    </w:p>
    <w:p w14:paraId="665C319B" w14:textId="77777777" w:rsidR="00D10794" w:rsidRDefault="00D10794" w:rsidP="00D10794">
      <w:pPr>
        <w:spacing w:after="0"/>
        <w:rPr>
          <w:rFonts w:cs="Arial"/>
        </w:rPr>
      </w:pPr>
    </w:p>
    <w:p w14:paraId="79E8069C" w14:textId="77777777" w:rsidR="00D10794" w:rsidRDefault="00D10794" w:rsidP="00D10794">
      <w:r w:rsidRPr="77A806EE">
        <w:rPr>
          <w:rFonts w:eastAsia="Arial" w:cs="Arial"/>
          <w:b/>
          <w:bCs/>
        </w:rPr>
        <w:t xml:space="preserve">Policy, Information and </w:t>
      </w:r>
      <w:r w:rsidRPr="00C73BEF">
        <w:rPr>
          <w:rFonts w:eastAsia="Arial" w:cs="Arial"/>
          <w:b/>
          <w:bCs/>
        </w:rPr>
        <w:t>Commissioning Start Well – Overspend £43</w:t>
      </w:r>
      <w:r>
        <w:rPr>
          <w:rFonts w:eastAsia="Arial" w:cs="Arial"/>
          <w:b/>
          <w:bCs/>
        </w:rPr>
        <w:t>4</w:t>
      </w:r>
      <w:r w:rsidRPr="00C73BEF">
        <w:rPr>
          <w:rFonts w:eastAsia="Arial" w:cs="Arial"/>
          <w:b/>
          <w:bCs/>
        </w:rPr>
        <w:t>,000</w:t>
      </w:r>
    </w:p>
    <w:p w14:paraId="55527FD0" w14:textId="77777777" w:rsidR="00D10794" w:rsidRPr="0093389C" w:rsidRDefault="00D10794" w:rsidP="00D10794">
      <w:r w:rsidRPr="00C8768A">
        <w:rPr>
          <w:rFonts w:eastAsia="Arial" w:cs="Arial"/>
        </w:rPr>
        <w:t xml:space="preserve">Overspends within PIC Start Well mainly relate </w:t>
      </w:r>
      <w:r>
        <w:rPr>
          <w:rFonts w:eastAsia="Arial" w:cs="Arial"/>
        </w:rPr>
        <w:t xml:space="preserve">a </w:t>
      </w:r>
      <w:r w:rsidRPr="00C8768A">
        <w:rPr>
          <w:rFonts w:eastAsia="Arial" w:cs="Arial"/>
        </w:rPr>
        <w:t>reserve contribution (£460,000)</w:t>
      </w:r>
      <w:r>
        <w:rPr>
          <w:rFonts w:eastAsia="Arial" w:cs="Arial"/>
        </w:rPr>
        <w:t xml:space="preserve"> </w:t>
      </w:r>
      <w:r w:rsidRPr="00C8768A">
        <w:rPr>
          <w:rFonts w:eastAsia="Arial" w:cs="Arial"/>
        </w:rPr>
        <w:t xml:space="preserve">to provide commissioning and </w:t>
      </w:r>
      <w:proofErr w:type="spellStart"/>
      <w:r w:rsidRPr="00C8768A">
        <w:rPr>
          <w:rFonts w:eastAsia="Arial" w:cs="Arial"/>
        </w:rPr>
        <w:t>clientside</w:t>
      </w:r>
      <w:proofErr w:type="spellEnd"/>
      <w:r w:rsidRPr="00C8768A">
        <w:rPr>
          <w:rFonts w:eastAsia="Arial" w:cs="Arial"/>
        </w:rPr>
        <w:t xml:space="preserve"> resources for the Inclusion Service</w:t>
      </w:r>
      <w:r>
        <w:rPr>
          <w:rFonts w:eastAsia="Arial" w:cs="Arial"/>
        </w:rPr>
        <w:t xml:space="preserve"> in the recovery phase of the pandemic from 2021/22 onwards. </w:t>
      </w:r>
    </w:p>
    <w:p w14:paraId="58FE3331" w14:textId="77777777" w:rsidR="00D10794" w:rsidRPr="00B90474" w:rsidRDefault="00D10794" w:rsidP="00D10794">
      <w:pPr>
        <w:spacing w:after="0"/>
        <w:rPr>
          <w:rFonts w:cs="Arial"/>
          <w:highlight w:val="green"/>
        </w:rPr>
      </w:pPr>
    </w:p>
    <w:p w14:paraId="2AFEB678" w14:textId="77777777" w:rsidR="00D10794" w:rsidRPr="0093389C" w:rsidRDefault="00D10794" w:rsidP="00D10794">
      <w:pPr>
        <w:spacing w:after="0"/>
        <w:rPr>
          <w:rFonts w:cs="Arial"/>
          <w:b/>
        </w:rPr>
      </w:pPr>
      <w:r w:rsidRPr="0093389C">
        <w:rPr>
          <w:rFonts w:cs="Arial"/>
          <w:b/>
        </w:rPr>
        <w:t xml:space="preserve">Education and Children's Services Central Costs – </w:t>
      </w:r>
      <w:r>
        <w:rPr>
          <w:rFonts w:cs="Arial"/>
          <w:b/>
        </w:rPr>
        <w:t>overspend</w:t>
      </w:r>
      <w:r w:rsidRPr="0093389C">
        <w:rPr>
          <w:rFonts w:cs="Arial"/>
          <w:b/>
        </w:rPr>
        <w:t xml:space="preserve"> </w:t>
      </w:r>
      <w:r>
        <w:rPr>
          <w:rFonts w:cs="Arial"/>
          <w:b/>
        </w:rPr>
        <w:t>£4.399m</w:t>
      </w:r>
    </w:p>
    <w:p w14:paraId="08AAE101" w14:textId="77777777" w:rsidR="00D10794" w:rsidRDefault="00D10794" w:rsidP="00D10794">
      <w:pPr>
        <w:spacing w:after="0"/>
        <w:rPr>
          <w:rFonts w:cs="Arial"/>
        </w:rPr>
      </w:pPr>
      <w:r w:rsidRPr="0093389C">
        <w:rPr>
          <w:rFonts w:cs="Arial"/>
        </w:rPr>
        <w:t>A revenue contribution to assist with the deficit due to the closure of Thomas Whittam Sixth Form School of £5.015m is offset by underspends predominantly relating to Premature Retirement Costs (PRC</w:t>
      </w:r>
      <w:r>
        <w:rPr>
          <w:rFonts w:cs="Arial"/>
        </w:rPr>
        <w:t>).</w:t>
      </w:r>
    </w:p>
    <w:p w14:paraId="1E869AD0" w14:textId="77777777" w:rsidR="00D10794" w:rsidRDefault="00D10794" w:rsidP="00D10794">
      <w:pPr>
        <w:spacing w:after="0"/>
        <w:rPr>
          <w:rFonts w:cs="Arial"/>
        </w:rPr>
      </w:pPr>
    </w:p>
    <w:p w14:paraId="2CEDE0ED" w14:textId="77777777" w:rsidR="00D10794" w:rsidRDefault="00D10794" w:rsidP="00D10794">
      <w:pPr>
        <w:spacing w:after="0"/>
        <w:rPr>
          <w:rFonts w:cs="Arial"/>
        </w:rPr>
      </w:pPr>
    </w:p>
    <w:p w14:paraId="3CDAA2E3" w14:textId="77777777" w:rsidR="00D10794" w:rsidRDefault="00D10794" w:rsidP="00D10794">
      <w:pPr>
        <w:spacing w:after="0"/>
        <w:rPr>
          <w:rFonts w:cs="Arial"/>
        </w:rPr>
      </w:pPr>
    </w:p>
    <w:p w14:paraId="2AA7C08C" w14:textId="77777777" w:rsidR="00D10794" w:rsidRDefault="00D10794" w:rsidP="00D10794">
      <w:pPr>
        <w:spacing w:after="0"/>
        <w:rPr>
          <w:rFonts w:cs="Arial"/>
        </w:rPr>
      </w:pPr>
    </w:p>
    <w:p w14:paraId="00928BC9" w14:textId="77777777" w:rsidR="00D10794" w:rsidRDefault="00D10794" w:rsidP="00D10794">
      <w:pPr>
        <w:spacing w:after="0"/>
        <w:rPr>
          <w:rFonts w:cs="Arial"/>
        </w:rPr>
      </w:pPr>
    </w:p>
    <w:p w14:paraId="11095818" w14:textId="77777777" w:rsidR="00D10794" w:rsidRDefault="00D10794" w:rsidP="00D10794">
      <w:pPr>
        <w:spacing w:after="0"/>
        <w:rPr>
          <w:rFonts w:cs="Arial"/>
        </w:rPr>
      </w:pPr>
    </w:p>
    <w:p w14:paraId="2E853B6E" w14:textId="77777777" w:rsidR="00D10794" w:rsidRDefault="00D10794" w:rsidP="00D10794">
      <w:pPr>
        <w:spacing w:after="0"/>
        <w:rPr>
          <w:rFonts w:cs="Arial"/>
        </w:rPr>
      </w:pPr>
    </w:p>
    <w:p w14:paraId="4845BE78" w14:textId="77777777" w:rsidR="00D10794" w:rsidRDefault="00D10794" w:rsidP="00D10794">
      <w:pPr>
        <w:spacing w:after="0"/>
        <w:rPr>
          <w:rFonts w:cs="Arial"/>
        </w:rPr>
      </w:pPr>
    </w:p>
    <w:p w14:paraId="36A8D913" w14:textId="77777777" w:rsidR="00D10794" w:rsidRDefault="00D10794" w:rsidP="00D10794">
      <w:pPr>
        <w:spacing w:after="0"/>
        <w:rPr>
          <w:rFonts w:cs="Arial"/>
        </w:rPr>
      </w:pPr>
    </w:p>
    <w:p w14:paraId="069C7709" w14:textId="77777777" w:rsidR="00D10794" w:rsidRDefault="00D10794" w:rsidP="00D10794">
      <w:pPr>
        <w:spacing w:after="0"/>
        <w:rPr>
          <w:rFonts w:cs="Arial"/>
        </w:rPr>
      </w:pPr>
    </w:p>
    <w:p w14:paraId="3B8F5289" w14:textId="77777777" w:rsidR="00D10794" w:rsidRDefault="00D10794" w:rsidP="00D10794">
      <w:pPr>
        <w:spacing w:after="0"/>
        <w:rPr>
          <w:rFonts w:cs="Arial"/>
        </w:rPr>
      </w:pPr>
    </w:p>
    <w:p w14:paraId="045E2971" w14:textId="77777777" w:rsidR="00D10794" w:rsidRDefault="00D10794" w:rsidP="00D10794">
      <w:pPr>
        <w:spacing w:after="0"/>
        <w:rPr>
          <w:rFonts w:cs="Arial"/>
        </w:rPr>
      </w:pPr>
    </w:p>
    <w:p w14:paraId="2B687519" w14:textId="77777777" w:rsidR="00D10794" w:rsidRDefault="00D10794" w:rsidP="00D10794">
      <w:pPr>
        <w:spacing w:after="0"/>
        <w:rPr>
          <w:rFonts w:cs="Arial"/>
        </w:rPr>
      </w:pPr>
    </w:p>
    <w:p w14:paraId="6160F787" w14:textId="77777777" w:rsidR="00D10794" w:rsidRDefault="00D10794" w:rsidP="00D10794">
      <w:pPr>
        <w:spacing w:after="0"/>
        <w:rPr>
          <w:rFonts w:cs="Arial"/>
        </w:rPr>
      </w:pPr>
    </w:p>
    <w:p w14:paraId="6004DFC4" w14:textId="77777777" w:rsidR="00D10794" w:rsidRDefault="00D10794" w:rsidP="00D10794">
      <w:pPr>
        <w:spacing w:after="0"/>
        <w:rPr>
          <w:rFonts w:cs="Arial"/>
        </w:rPr>
      </w:pPr>
    </w:p>
    <w:p w14:paraId="3609475B" w14:textId="77777777" w:rsidR="00D10794" w:rsidRDefault="00D10794" w:rsidP="00D10794">
      <w:pPr>
        <w:spacing w:after="0"/>
        <w:rPr>
          <w:rFonts w:cs="Arial"/>
        </w:rPr>
      </w:pPr>
    </w:p>
    <w:p w14:paraId="1D035024" w14:textId="77777777" w:rsidR="00D10794" w:rsidRDefault="00D10794" w:rsidP="00D10794">
      <w:pPr>
        <w:spacing w:after="0"/>
        <w:rPr>
          <w:rFonts w:cs="Arial"/>
        </w:rPr>
      </w:pPr>
    </w:p>
    <w:p w14:paraId="23264601" w14:textId="77777777" w:rsidR="00D10794" w:rsidRDefault="00D10794" w:rsidP="00D10794">
      <w:pPr>
        <w:spacing w:after="0"/>
        <w:rPr>
          <w:rFonts w:cs="Arial"/>
        </w:rPr>
      </w:pPr>
    </w:p>
    <w:p w14:paraId="0E584E70" w14:textId="77777777" w:rsidR="00D10794" w:rsidRDefault="00D10794" w:rsidP="00D10794">
      <w:pPr>
        <w:spacing w:after="0"/>
        <w:rPr>
          <w:rFonts w:cs="Arial"/>
        </w:rPr>
      </w:pPr>
    </w:p>
    <w:p w14:paraId="6CC5C965" w14:textId="77777777" w:rsidR="00D10794" w:rsidRDefault="00D10794" w:rsidP="00D10794">
      <w:pPr>
        <w:spacing w:after="0"/>
        <w:rPr>
          <w:rFonts w:cs="Arial"/>
        </w:rPr>
      </w:pPr>
    </w:p>
    <w:p w14:paraId="7ACC160F" w14:textId="77777777" w:rsidR="00D10794" w:rsidRDefault="00D10794" w:rsidP="00D10794">
      <w:pPr>
        <w:spacing w:after="0"/>
        <w:rPr>
          <w:rFonts w:cs="Arial"/>
        </w:rPr>
      </w:pPr>
    </w:p>
    <w:p w14:paraId="02772CB9" w14:textId="77777777" w:rsidR="00D10794" w:rsidRDefault="00D10794" w:rsidP="00D10794">
      <w:pPr>
        <w:spacing w:after="0"/>
        <w:rPr>
          <w:rFonts w:cs="Arial"/>
        </w:rPr>
      </w:pPr>
    </w:p>
    <w:p w14:paraId="30FB5EA5" w14:textId="77777777" w:rsidR="00D10794" w:rsidRDefault="00D10794" w:rsidP="00D10794">
      <w:pPr>
        <w:spacing w:after="0"/>
        <w:rPr>
          <w:rFonts w:cs="Arial"/>
        </w:rPr>
      </w:pPr>
    </w:p>
    <w:p w14:paraId="366AA494" w14:textId="77777777" w:rsidR="00D10794" w:rsidRDefault="00D10794" w:rsidP="00D10794">
      <w:pPr>
        <w:spacing w:after="0"/>
        <w:rPr>
          <w:rFonts w:cs="Arial"/>
        </w:rPr>
      </w:pPr>
    </w:p>
    <w:p w14:paraId="34389AEE" w14:textId="77777777" w:rsidR="00D10794" w:rsidRDefault="00D10794" w:rsidP="00D10794">
      <w:pPr>
        <w:spacing w:after="0"/>
        <w:rPr>
          <w:rFonts w:cs="Arial"/>
        </w:rPr>
      </w:pPr>
    </w:p>
    <w:p w14:paraId="7A9C7C24" w14:textId="77777777" w:rsidR="00D10794" w:rsidRDefault="00D10794" w:rsidP="00D10794">
      <w:pPr>
        <w:spacing w:after="0"/>
        <w:rPr>
          <w:rFonts w:cs="Arial"/>
        </w:rPr>
      </w:pPr>
    </w:p>
    <w:p w14:paraId="60536F8E" w14:textId="77777777" w:rsidR="00D10794" w:rsidRDefault="00D10794" w:rsidP="00D10794">
      <w:pPr>
        <w:spacing w:after="0"/>
        <w:rPr>
          <w:rFonts w:cs="Arial"/>
        </w:rPr>
      </w:pPr>
    </w:p>
    <w:p w14:paraId="7BEB8BCD" w14:textId="77777777" w:rsidR="00D10794" w:rsidRDefault="00D10794" w:rsidP="00D10794">
      <w:pPr>
        <w:spacing w:after="0"/>
        <w:rPr>
          <w:rFonts w:cs="Arial"/>
        </w:rPr>
      </w:pPr>
    </w:p>
    <w:p w14:paraId="165F22EC" w14:textId="77777777" w:rsidR="00D10794" w:rsidRDefault="00D10794" w:rsidP="00D10794">
      <w:pPr>
        <w:spacing w:after="0"/>
        <w:rPr>
          <w:rFonts w:cs="Arial"/>
        </w:rPr>
      </w:pPr>
    </w:p>
    <w:p w14:paraId="5ACB7D7E" w14:textId="77777777" w:rsidR="00D10794" w:rsidRDefault="00D10794" w:rsidP="00D10794">
      <w:pPr>
        <w:spacing w:after="0"/>
        <w:rPr>
          <w:rFonts w:cs="Arial"/>
        </w:rPr>
      </w:pPr>
    </w:p>
    <w:p w14:paraId="4B9A28BC" w14:textId="77777777" w:rsidR="00D10794" w:rsidRDefault="00D10794" w:rsidP="00D10794">
      <w:pPr>
        <w:spacing w:after="0"/>
        <w:rPr>
          <w:rFonts w:cs="Arial"/>
        </w:rPr>
      </w:pPr>
    </w:p>
    <w:p w14:paraId="74198597" w14:textId="77777777" w:rsidR="00D10794" w:rsidRDefault="00D10794" w:rsidP="00D10794">
      <w:pPr>
        <w:spacing w:after="0"/>
        <w:rPr>
          <w:rFonts w:cs="Arial"/>
        </w:rPr>
      </w:pPr>
    </w:p>
    <w:p w14:paraId="1226F522" w14:textId="77777777" w:rsidR="00D10794" w:rsidRDefault="00D10794" w:rsidP="00D10794">
      <w:pPr>
        <w:spacing w:after="0"/>
        <w:rPr>
          <w:rFonts w:cs="Arial"/>
        </w:rPr>
      </w:pPr>
    </w:p>
    <w:p w14:paraId="7B96D5D1" w14:textId="77777777" w:rsidR="00D10794" w:rsidRDefault="00D10794" w:rsidP="00D10794">
      <w:pPr>
        <w:spacing w:after="0"/>
        <w:rPr>
          <w:rFonts w:cs="Arial"/>
        </w:rPr>
      </w:pPr>
    </w:p>
    <w:p w14:paraId="6495A32B" w14:textId="77777777" w:rsidR="00D10794" w:rsidRDefault="00D10794" w:rsidP="00D10794">
      <w:pPr>
        <w:spacing w:after="0"/>
        <w:rPr>
          <w:rFonts w:cs="Arial"/>
        </w:rPr>
      </w:pPr>
    </w:p>
    <w:p w14:paraId="5BA1865B" w14:textId="77777777" w:rsidR="00D10794" w:rsidRDefault="00D10794" w:rsidP="00D10794">
      <w:pPr>
        <w:spacing w:after="0"/>
        <w:rPr>
          <w:rFonts w:cs="Arial"/>
        </w:rPr>
      </w:pPr>
    </w:p>
    <w:p w14:paraId="0735E3B5" w14:textId="178420EB" w:rsidR="00D10794" w:rsidRDefault="00D10794" w:rsidP="00D10794">
      <w:pPr>
        <w:spacing w:after="0"/>
        <w:rPr>
          <w:rFonts w:cs="Arial"/>
        </w:rPr>
      </w:pPr>
    </w:p>
    <w:p w14:paraId="42EF908B" w14:textId="77777777" w:rsidR="00C07D59" w:rsidRDefault="00C07D59" w:rsidP="00D10794">
      <w:pPr>
        <w:spacing w:after="0"/>
        <w:rPr>
          <w:rFonts w:cs="Arial"/>
        </w:rPr>
      </w:pPr>
    </w:p>
    <w:p w14:paraId="396D54A5" w14:textId="77777777" w:rsidR="00D10794" w:rsidRDefault="00D10794" w:rsidP="00D10794">
      <w:pPr>
        <w:spacing w:after="0"/>
        <w:rPr>
          <w:rFonts w:cs="Arial"/>
        </w:rPr>
      </w:pPr>
    </w:p>
    <w:p w14:paraId="32551921" w14:textId="77777777" w:rsidR="00D10794" w:rsidRDefault="00D10794" w:rsidP="00D10794">
      <w:pPr>
        <w:spacing w:after="0"/>
        <w:rPr>
          <w:rFonts w:cs="Arial"/>
        </w:rPr>
      </w:pPr>
    </w:p>
    <w:p w14:paraId="05B1E301" w14:textId="77777777" w:rsidR="00D10794" w:rsidRDefault="00D10794" w:rsidP="00D10794">
      <w:pPr>
        <w:spacing w:after="0"/>
        <w:rPr>
          <w:rFonts w:cs="Arial"/>
        </w:rPr>
      </w:pPr>
    </w:p>
    <w:p w14:paraId="145E52F1" w14:textId="77777777" w:rsidR="00D10794" w:rsidRPr="0093389C" w:rsidRDefault="00D10794" w:rsidP="00D10794">
      <w:pPr>
        <w:spacing w:after="0"/>
        <w:rPr>
          <w:rFonts w:cs="Arial"/>
        </w:rPr>
      </w:pPr>
    </w:p>
    <w:p w14:paraId="01A09629" w14:textId="77777777" w:rsidR="00D10794" w:rsidRPr="00B90474" w:rsidRDefault="00D10794" w:rsidP="00D10794">
      <w:pPr>
        <w:spacing w:after="0"/>
        <w:rPr>
          <w:rFonts w:eastAsia="Times New Roman" w:cs="Arial"/>
          <w:b/>
          <w:lang w:eastAsia="en-GB"/>
        </w:rPr>
      </w:pPr>
      <w:r w:rsidRPr="00B90474">
        <w:rPr>
          <w:rFonts w:eastAsia="Times New Roman" w:cs="Arial"/>
          <w:b/>
          <w:lang w:eastAsia="en-GB"/>
        </w:rPr>
        <w:lastRenderedPageBreak/>
        <w:t>3.5</w:t>
      </w:r>
      <w:r w:rsidRPr="00B90474">
        <w:rPr>
          <w:rFonts w:eastAsia="Times New Roman" w:cs="Arial"/>
          <w:b/>
          <w:lang w:eastAsia="en-GB"/>
        </w:rPr>
        <w:tab/>
      </w:r>
      <w:r w:rsidRPr="00B90474">
        <w:rPr>
          <w:rFonts w:cs="Arial"/>
          <w:b/>
        </w:rPr>
        <w:t>Growth, Environment and Planning</w:t>
      </w:r>
    </w:p>
    <w:p w14:paraId="08AD55A0" w14:textId="77777777" w:rsidR="00D10794" w:rsidRPr="00C529BF" w:rsidRDefault="00D10794" w:rsidP="00D10794">
      <w:pPr>
        <w:spacing w:after="0"/>
        <w:rPr>
          <w:rFonts w:cs="Arial"/>
          <w:b/>
          <w:highlight w:val="yellow"/>
          <w:u w:val="single"/>
        </w:rPr>
      </w:pPr>
    </w:p>
    <w:tbl>
      <w:tblPr>
        <w:tblW w:w="8927" w:type="dxa"/>
        <w:tblLook w:val="04A0" w:firstRow="1" w:lastRow="0" w:firstColumn="1" w:lastColumn="0" w:noHBand="0" w:noVBand="1"/>
      </w:tblPr>
      <w:tblGrid>
        <w:gridCol w:w="3547"/>
        <w:gridCol w:w="1150"/>
        <w:gridCol w:w="1058"/>
        <w:gridCol w:w="1072"/>
        <w:gridCol w:w="1050"/>
        <w:gridCol w:w="1050"/>
      </w:tblGrid>
      <w:tr w:rsidR="002F12B1" w14:paraId="558207F1" w14:textId="77777777" w:rsidTr="00D10794">
        <w:trPr>
          <w:trHeight w:val="805"/>
        </w:trPr>
        <w:tc>
          <w:tcPr>
            <w:tcW w:w="3893" w:type="dxa"/>
            <w:tcBorders>
              <w:top w:val="single" w:sz="4" w:space="0" w:color="auto"/>
              <w:left w:val="single" w:sz="4" w:space="0" w:color="auto"/>
              <w:bottom w:val="nil"/>
              <w:right w:val="single" w:sz="4" w:space="0" w:color="auto"/>
            </w:tcBorders>
            <w:shd w:val="clear" w:color="000000" w:fill="D9D9D9"/>
            <w:vAlign w:val="center"/>
            <w:hideMark/>
          </w:tcPr>
          <w:p w14:paraId="7CBA8D79" w14:textId="4A5F4AD2"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14:paraId="1BD2691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14:paraId="72153DB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76" w:type="dxa"/>
            <w:tcBorders>
              <w:top w:val="single" w:sz="4" w:space="0" w:color="auto"/>
              <w:left w:val="nil"/>
              <w:bottom w:val="single" w:sz="4" w:space="0" w:color="auto"/>
              <w:right w:val="single" w:sz="4" w:space="0" w:color="auto"/>
            </w:tcBorders>
            <w:shd w:val="clear" w:color="000000" w:fill="D9D9D9"/>
            <w:vAlign w:val="center"/>
            <w:hideMark/>
          </w:tcPr>
          <w:p w14:paraId="33EC6F97"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43" w:type="dxa"/>
            <w:tcBorders>
              <w:top w:val="single" w:sz="4" w:space="0" w:color="auto"/>
              <w:left w:val="nil"/>
              <w:bottom w:val="single" w:sz="4" w:space="0" w:color="auto"/>
              <w:right w:val="single" w:sz="4" w:space="0" w:color="auto"/>
            </w:tcBorders>
            <w:shd w:val="clear" w:color="000000" w:fill="D9D9D9"/>
            <w:vAlign w:val="center"/>
            <w:hideMark/>
          </w:tcPr>
          <w:p w14:paraId="1081C80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5DE2812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4BB74B7B" w14:textId="77777777" w:rsidTr="00D10794">
        <w:trPr>
          <w:trHeight w:val="331"/>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787780A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076" w:type="dxa"/>
            <w:tcBorders>
              <w:top w:val="nil"/>
              <w:left w:val="nil"/>
              <w:bottom w:val="single" w:sz="4" w:space="0" w:color="auto"/>
              <w:right w:val="single" w:sz="4" w:space="0" w:color="auto"/>
            </w:tcBorders>
            <w:shd w:val="clear" w:color="000000" w:fill="D9D9D9"/>
            <w:vAlign w:val="center"/>
            <w:hideMark/>
          </w:tcPr>
          <w:p w14:paraId="1B8FEAF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76" w:type="dxa"/>
            <w:tcBorders>
              <w:top w:val="nil"/>
              <w:left w:val="nil"/>
              <w:bottom w:val="single" w:sz="4" w:space="0" w:color="auto"/>
              <w:right w:val="single" w:sz="4" w:space="0" w:color="auto"/>
            </w:tcBorders>
            <w:shd w:val="clear" w:color="000000" w:fill="D9D9D9"/>
            <w:vAlign w:val="center"/>
            <w:hideMark/>
          </w:tcPr>
          <w:p w14:paraId="7B363DF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76" w:type="dxa"/>
            <w:tcBorders>
              <w:top w:val="nil"/>
              <w:left w:val="nil"/>
              <w:bottom w:val="single" w:sz="4" w:space="0" w:color="auto"/>
              <w:right w:val="single" w:sz="4" w:space="0" w:color="auto"/>
            </w:tcBorders>
            <w:shd w:val="clear" w:color="000000" w:fill="D9D9D9"/>
            <w:vAlign w:val="center"/>
            <w:hideMark/>
          </w:tcPr>
          <w:p w14:paraId="6AF492C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43" w:type="dxa"/>
            <w:tcBorders>
              <w:top w:val="nil"/>
              <w:left w:val="nil"/>
              <w:bottom w:val="single" w:sz="4" w:space="0" w:color="auto"/>
              <w:right w:val="single" w:sz="4" w:space="0" w:color="auto"/>
            </w:tcBorders>
            <w:shd w:val="clear" w:color="000000" w:fill="D9D9D9"/>
            <w:vAlign w:val="center"/>
            <w:hideMark/>
          </w:tcPr>
          <w:p w14:paraId="43AF0EE4"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63" w:type="dxa"/>
            <w:tcBorders>
              <w:top w:val="nil"/>
              <w:left w:val="nil"/>
              <w:bottom w:val="single" w:sz="4" w:space="0" w:color="auto"/>
              <w:right w:val="single" w:sz="4" w:space="0" w:color="auto"/>
            </w:tcBorders>
            <w:shd w:val="clear" w:color="000000" w:fill="D9D9D9"/>
            <w:vAlign w:val="center"/>
            <w:hideMark/>
          </w:tcPr>
          <w:p w14:paraId="2DDB28C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020573D5"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51D77F94"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LEP Coordination</w:t>
            </w:r>
          </w:p>
        </w:tc>
        <w:tc>
          <w:tcPr>
            <w:tcW w:w="1076" w:type="dxa"/>
            <w:tcBorders>
              <w:top w:val="nil"/>
              <w:left w:val="nil"/>
              <w:bottom w:val="single" w:sz="4" w:space="0" w:color="auto"/>
              <w:right w:val="single" w:sz="4" w:space="0" w:color="auto"/>
            </w:tcBorders>
            <w:shd w:val="clear" w:color="auto" w:fill="auto"/>
            <w:vAlign w:val="center"/>
            <w:hideMark/>
          </w:tcPr>
          <w:p w14:paraId="53463F0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0.250</w:t>
            </w:r>
          </w:p>
        </w:tc>
        <w:tc>
          <w:tcPr>
            <w:tcW w:w="1076" w:type="dxa"/>
            <w:tcBorders>
              <w:top w:val="nil"/>
              <w:left w:val="nil"/>
              <w:bottom w:val="single" w:sz="4" w:space="0" w:color="auto"/>
              <w:right w:val="single" w:sz="4" w:space="0" w:color="auto"/>
            </w:tcBorders>
            <w:shd w:val="clear" w:color="auto" w:fill="auto"/>
            <w:vAlign w:val="center"/>
            <w:hideMark/>
          </w:tcPr>
          <w:p w14:paraId="48EE0AA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0.250</w:t>
            </w:r>
          </w:p>
        </w:tc>
        <w:tc>
          <w:tcPr>
            <w:tcW w:w="1076" w:type="dxa"/>
            <w:tcBorders>
              <w:top w:val="nil"/>
              <w:left w:val="nil"/>
              <w:bottom w:val="single" w:sz="4" w:space="0" w:color="auto"/>
              <w:right w:val="single" w:sz="4" w:space="0" w:color="auto"/>
            </w:tcBorders>
            <w:shd w:val="clear" w:color="000000" w:fill="D9D9D9"/>
            <w:vAlign w:val="center"/>
            <w:hideMark/>
          </w:tcPr>
          <w:p w14:paraId="6F1C5BB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943" w:type="dxa"/>
            <w:tcBorders>
              <w:top w:val="nil"/>
              <w:left w:val="nil"/>
              <w:bottom w:val="single" w:sz="4" w:space="0" w:color="auto"/>
              <w:right w:val="single" w:sz="4" w:space="0" w:color="auto"/>
            </w:tcBorders>
            <w:shd w:val="clear" w:color="auto" w:fill="auto"/>
            <w:vAlign w:val="center"/>
            <w:hideMark/>
          </w:tcPr>
          <w:p w14:paraId="2DF7AFF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w:t>
            </w:r>
          </w:p>
        </w:tc>
        <w:tc>
          <w:tcPr>
            <w:tcW w:w="863" w:type="dxa"/>
            <w:tcBorders>
              <w:top w:val="nil"/>
              <w:left w:val="nil"/>
              <w:bottom w:val="single" w:sz="4" w:space="0" w:color="auto"/>
              <w:right w:val="single" w:sz="4" w:space="0" w:color="auto"/>
            </w:tcBorders>
            <w:shd w:val="clear" w:color="000000" w:fill="D9D9D9"/>
            <w:vAlign w:val="center"/>
            <w:hideMark/>
          </w:tcPr>
          <w:p w14:paraId="1227200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r>
      <w:tr w:rsidR="002F12B1" w14:paraId="6CB5510A"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26397571"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Business Growth</w:t>
            </w:r>
          </w:p>
        </w:tc>
        <w:tc>
          <w:tcPr>
            <w:tcW w:w="1076" w:type="dxa"/>
            <w:tcBorders>
              <w:top w:val="nil"/>
              <w:left w:val="nil"/>
              <w:bottom w:val="single" w:sz="4" w:space="0" w:color="auto"/>
              <w:right w:val="single" w:sz="4" w:space="0" w:color="auto"/>
            </w:tcBorders>
            <w:shd w:val="clear" w:color="auto" w:fill="auto"/>
            <w:vAlign w:val="center"/>
            <w:hideMark/>
          </w:tcPr>
          <w:p w14:paraId="055B395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1.587</w:t>
            </w:r>
          </w:p>
        </w:tc>
        <w:tc>
          <w:tcPr>
            <w:tcW w:w="1076" w:type="dxa"/>
            <w:tcBorders>
              <w:top w:val="nil"/>
              <w:left w:val="nil"/>
              <w:bottom w:val="single" w:sz="4" w:space="0" w:color="auto"/>
              <w:right w:val="single" w:sz="4" w:space="0" w:color="auto"/>
            </w:tcBorders>
            <w:shd w:val="clear" w:color="auto" w:fill="auto"/>
            <w:vAlign w:val="center"/>
            <w:hideMark/>
          </w:tcPr>
          <w:p w14:paraId="17B3551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4.354</w:t>
            </w:r>
          </w:p>
        </w:tc>
        <w:tc>
          <w:tcPr>
            <w:tcW w:w="1076" w:type="dxa"/>
            <w:tcBorders>
              <w:top w:val="nil"/>
              <w:left w:val="nil"/>
              <w:bottom w:val="single" w:sz="4" w:space="0" w:color="auto"/>
              <w:right w:val="single" w:sz="4" w:space="0" w:color="auto"/>
            </w:tcBorders>
            <w:shd w:val="clear" w:color="000000" w:fill="D9D9D9"/>
            <w:vAlign w:val="center"/>
            <w:hideMark/>
          </w:tcPr>
          <w:p w14:paraId="55D3F35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2.767</w:t>
            </w:r>
          </w:p>
        </w:tc>
        <w:tc>
          <w:tcPr>
            <w:tcW w:w="943" w:type="dxa"/>
            <w:tcBorders>
              <w:top w:val="nil"/>
              <w:left w:val="nil"/>
              <w:bottom w:val="single" w:sz="4" w:space="0" w:color="auto"/>
              <w:right w:val="single" w:sz="4" w:space="0" w:color="auto"/>
            </w:tcBorders>
            <w:shd w:val="clear" w:color="auto" w:fill="auto"/>
            <w:vAlign w:val="center"/>
            <w:hideMark/>
          </w:tcPr>
          <w:p w14:paraId="3F2B8CA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174.35%</w:t>
            </w:r>
          </w:p>
        </w:tc>
        <w:tc>
          <w:tcPr>
            <w:tcW w:w="863" w:type="dxa"/>
            <w:tcBorders>
              <w:top w:val="nil"/>
              <w:left w:val="nil"/>
              <w:bottom w:val="single" w:sz="4" w:space="0" w:color="auto"/>
              <w:right w:val="single" w:sz="4" w:space="0" w:color="auto"/>
            </w:tcBorders>
            <w:shd w:val="clear" w:color="000000" w:fill="D9D9D9"/>
            <w:vAlign w:val="center"/>
            <w:hideMark/>
          </w:tcPr>
          <w:p w14:paraId="04C09F8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0.043</w:t>
            </w:r>
          </w:p>
        </w:tc>
      </w:tr>
      <w:tr w:rsidR="002F12B1" w14:paraId="115252C3"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02F2D9A8"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Planning and Environment</w:t>
            </w:r>
          </w:p>
        </w:tc>
        <w:tc>
          <w:tcPr>
            <w:tcW w:w="1076" w:type="dxa"/>
            <w:tcBorders>
              <w:top w:val="nil"/>
              <w:left w:val="nil"/>
              <w:bottom w:val="single" w:sz="4" w:space="0" w:color="auto"/>
              <w:right w:val="single" w:sz="4" w:space="0" w:color="auto"/>
            </w:tcBorders>
            <w:shd w:val="clear" w:color="auto" w:fill="auto"/>
            <w:vAlign w:val="center"/>
            <w:hideMark/>
          </w:tcPr>
          <w:p w14:paraId="3994C09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2.190</w:t>
            </w:r>
          </w:p>
        </w:tc>
        <w:tc>
          <w:tcPr>
            <w:tcW w:w="1076" w:type="dxa"/>
            <w:tcBorders>
              <w:top w:val="nil"/>
              <w:left w:val="nil"/>
              <w:bottom w:val="single" w:sz="4" w:space="0" w:color="auto"/>
              <w:right w:val="single" w:sz="4" w:space="0" w:color="auto"/>
            </w:tcBorders>
            <w:shd w:val="clear" w:color="auto" w:fill="auto"/>
            <w:vAlign w:val="center"/>
            <w:hideMark/>
          </w:tcPr>
          <w:p w14:paraId="1AAD7AC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2.26</w:t>
            </w:r>
            <w:r>
              <w:rPr>
                <w:rFonts w:eastAsia="Times New Roman" w:cs="Arial"/>
                <w:sz w:val="20"/>
                <w:szCs w:val="20"/>
                <w:lang w:eastAsia="en-GB"/>
              </w:rPr>
              <w:t>4</w:t>
            </w:r>
          </w:p>
        </w:tc>
        <w:tc>
          <w:tcPr>
            <w:tcW w:w="1076" w:type="dxa"/>
            <w:tcBorders>
              <w:top w:val="nil"/>
              <w:left w:val="nil"/>
              <w:bottom w:val="single" w:sz="4" w:space="0" w:color="auto"/>
              <w:right w:val="single" w:sz="4" w:space="0" w:color="auto"/>
            </w:tcBorders>
            <w:shd w:val="clear" w:color="000000" w:fill="D9D9D9"/>
            <w:vAlign w:val="center"/>
            <w:hideMark/>
          </w:tcPr>
          <w:p w14:paraId="0C4B58C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0.07</w:t>
            </w:r>
            <w:r>
              <w:rPr>
                <w:rFonts w:eastAsia="Times New Roman" w:cs="Arial"/>
                <w:sz w:val="20"/>
                <w:szCs w:val="20"/>
                <w:lang w:eastAsia="en-GB"/>
              </w:rPr>
              <w:t>4</w:t>
            </w:r>
          </w:p>
        </w:tc>
        <w:tc>
          <w:tcPr>
            <w:tcW w:w="943" w:type="dxa"/>
            <w:tcBorders>
              <w:top w:val="nil"/>
              <w:left w:val="nil"/>
              <w:bottom w:val="single" w:sz="4" w:space="0" w:color="auto"/>
              <w:right w:val="single" w:sz="4" w:space="0" w:color="auto"/>
            </w:tcBorders>
            <w:shd w:val="clear" w:color="auto" w:fill="auto"/>
            <w:vAlign w:val="center"/>
            <w:hideMark/>
          </w:tcPr>
          <w:p w14:paraId="41992D7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3.3</w:t>
            </w:r>
            <w:r>
              <w:rPr>
                <w:rFonts w:eastAsia="Times New Roman" w:cs="Arial"/>
                <w:sz w:val="20"/>
                <w:szCs w:val="20"/>
                <w:lang w:eastAsia="en-GB"/>
              </w:rPr>
              <w:t>8</w:t>
            </w:r>
            <w:r w:rsidRPr="00B90474">
              <w:rPr>
                <w:rFonts w:eastAsia="Times New Roman" w:cs="Arial"/>
                <w:sz w:val="20"/>
                <w:szCs w:val="20"/>
                <w:lang w:eastAsia="en-GB"/>
              </w:rPr>
              <w:t>%</w:t>
            </w:r>
          </w:p>
        </w:tc>
        <w:tc>
          <w:tcPr>
            <w:tcW w:w="863" w:type="dxa"/>
            <w:tcBorders>
              <w:top w:val="nil"/>
              <w:left w:val="nil"/>
              <w:bottom w:val="single" w:sz="4" w:space="0" w:color="auto"/>
              <w:right w:val="single" w:sz="4" w:space="0" w:color="auto"/>
            </w:tcBorders>
            <w:shd w:val="clear" w:color="000000" w:fill="D9D9D9"/>
            <w:vAlign w:val="center"/>
            <w:hideMark/>
          </w:tcPr>
          <w:p w14:paraId="2C714AE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0.110</w:t>
            </w:r>
          </w:p>
        </w:tc>
      </w:tr>
      <w:tr w:rsidR="002F12B1" w14:paraId="488C783A"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1E3DBF16"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Estates</w:t>
            </w:r>
          </w:p>
        </w:tc>
        <w:tc>
          <w:tcPr>
            <w:tcW w:w="1076" w:type="dxa"/>
            <w:tcBorders>
              <w:top w:val="nil"/>
              <w:left w:val="nil"/>
              <w:bottom w:val="single" w:sz="4" w:space="0" w:color="auto"/>
              <w:right w:val="single" w:sz="4" w:space="0" w:color="auto"/>
            </w:tcBorders>
            <w:shd w:val="clear" w:color="auto" w:fill="auto"/>
            <w:vAlign w:val="center"/>
            <w:hideMark/>
          </w:tcPr>
          <w:p w14:paraId="41D863F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0.431</w:t>
            </w:r>
          </w:p>
        </w:tc>
        <w:tc>
          <w:tcPr>
            <w:tcW w:w="1076" w:type="dxa"/>
            <w:tcBorders>
              <w:top w:val="nil"/>
              <w:left w:val="nil"/>
              <w:bottom w:val="single" w:sz="4" w:space="0" w:color="auto"/>
              <w:right w:val="single" w:sz="4" w:space="0" w:color="auto"/>
            </w:tcBorders>
            <w:shd w:val="clear" w:color="auto" w:fill="auto"/>
            <w:vAlign w:val="center"/>
            <w:hideMark/>
          </w:tcPr>
          <w:p w14:paraId="257FE4A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0.207</w:t>
            </w:r>
          </w:p>
        </w:tc>
        <w:tc>
          <w:tcPr>
            <w:tcW w:w="1076" w:type="dxa"/>
            <w:tcBorders>
              <w:top w:val="nil"/>
              <w:left w:val="nil"/>
              <w:bottom w:val="single" w:sz="4" w:space="0" w:color="auto"/>
              <w:right w:val="single" w:sz="4" w:space="0" w:color="auto"/>
            </w:tcBorders>
            <w:shd w:val="clear" w:color="000000" w:fill="D9D9D9"/>
            <w:vAlign w:val="center"/>
            <w:hideMark/>
          </w:tcPr>
          <w:p w14:paraId="3674BAE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-0.224</w:t>
            </w:r>
          </w:p>
        </w:tc>
        <w:tc>
          <w:tcPr>
            <w:tcW w:w="943" w:type="dxa"/>
            <w:tcBorders>
              <w:top w:val="nil"/>
              <w:left w:val="nil"/>
              <w:bottom w:val="single" w:sz="4" w:space="0" w:color="auto"/>
              <w:right w:val="single" w:sz="4" w:space="0" w:color="auto"/>
            </w:tcBorders>
            <w:shd w:val="clear" w:color="auto" w:fill="auto"/>
            <w:vAlign w:val="center"/>
            <w:hideMark/>
          </w:tcPr>
          <w:p w14:paraId="37332C0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-51.97%</w:t>
            </w:r>
          </w:p>
        </w:tc>
        <w:tc>
          <w:tcPr>
            <w:tcW w:w="863" w:type="dxa"/>
            <w:tcBorders>
              <w:top w:val="nil"/>
              <w:left w:val="nil"/>
              <w:bottom w:val="single" w:sz="4" w:space="0" w:color="auto"/>
              <w:right w:val="single" w:sz="4" w:space="0" w:color="auto"/>
            </w:tcBorders>
            <w:shd w:val="clear" w:color="000000" w:fill="D9D9D9"/>
            <w:vAlign w:val="center"/>
            <w:hideMark/>
          </w:tcPr>
          <w:p w14:paraId="412BCE0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-0.060</w:t>
            </w:r>
          </w:p>
        </w:tc>
      </w:tr>
      <w:tr w:rsidR="002F12B1" w14:paraId="620B4DAA"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4FED290E"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Strategic Development</w:t>
            </w:r>
          </w:p>
        </w:tc>
        <w:tc>
          <w:tcPr>
            <w:tcW w:w="1076" w:type="dxa"/>
            <w:tcBorders>
              <w:top w:val="nil"/>
              <w:left w:val="nil"/>
              <w:bottom w:val="single" w:sz="4" w:space="0" w:color="auto"/>
              <w:right w:val="single" w:sz="4" w:space="0" w:color="auto"/>
            </w:tcBorders>
            <w:shd w:val="clear" w:color="auto" w:fill="auto"/>
            <w:vAlign w:val="center"/>
            <w:hideMark/>
          </w:tcPr>
          <w:p w14:paraId="584CCBB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0.410</w:t>
            </w:r>
          </w:p>
        </w:tc>
        <w:tc>
          <w:tcPr>
            <w:tcW w:w="1076" w:type="dxa"/>
            <w:tcBorders>
              <w:top w:val="nil"/>
              <w:left w:val="nil"/>
              <w:bottom w:val="single" w:sz="4" w:space="0" w:color="auto"/>
              <w:right w:val="single" w:sz="4" w:space="0" w:color="auto"/>
            </w:tcBorders>
            <w:shd w:val="clear" w:color="auto" w:fill="auto"/>
            <w:vAlign w:val="center"/>
            <w:hideMark/>
          </w:tcPr>
          <w:p w14:paraId="152FE5D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0.446</w:t>
            </w:r>
          </w:p>
        </w:tc>
        <w:tc>
          <w:tcPr>
            <w:tcW w:w="1076" w:type="dxa"/>
            <w:tcBorders>
              <w:top w:val="nil"/>
              <w:left w:val="nil"/>
              <w:bottom w:val="single" w:sz="4" w:space="0" w:color="auto"/>
              <w:right w:val="single" w:sz="4" w:space="0" w:color="auto"/>
            </w:tcBorders>
            <w:shd w:val="clear" w:color="000000" w:fill="D9D9D9"/>
            <w:vAlign w:val="center"/>
            <w:hideMark/>
          </w:tcPr>
          <w:p w14:paraId="6991A2C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0.036</w:t>
            </w:r>
          </w:p>
        </w:tc>
        <w:tc>
          <w:tcPr>
            <w:tcW w:w="943" w:type="dxa"/>
            <w:tcBorders>
              <w:top w:val="nil"/>
              <w:left w:val="nil"/>
              <w:bottom w:val="single" w:sz="4" w:space="0" w:color="auto"/>
              <w:right w:val="single" w:sz="4" w:space="0" w:color="auto"/>
            </w:tcBorders>
            <w:shd w:val="clear" w:color="auto" w:fill="auto"/>
            <w:vAlign w:val="center"/>
            <w:hideMark/>
          </w:tcPr>
          <w:p w14:paraId="131E8A2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8.78%</w:t>
            </w:r>
          </w:p>
        </w:tc>
        <w:tc>
          <w:tcPr>
            <w:tcW w:w="863" w:type="dxa"/>
            <w:tcBorders>
              <w:top w:val="nil"/>
              <w:left w:val="nil"/>
              <w:bottom w:val="single" w:sz="4" w:space="0" w:color="auto"/>
              <w:right w:val="single" w:sz="4" w:space="0" w:color="auto"/>
            </w:tcBorders>
            <w:shd w:val="clear" w:color="000000" w:fill="D9D9D9"/>
            <w:vAlign w:val="center"/>
            <w:hideMark/>
          </w:tcPr>
          <w:p w14:paraId="15A7D10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0.001</w:t>
            </w:r>
          </w:p>
        </w:tc>
      </w:tr>
      <w:tr w:rsidR="002F12B1" w14:paraId="22FD24F4" w14:textId="77777777" w:rsidTr="00D10794">
        <w:trPr>
          <w:trHeight w:val="331"/>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66AF5536"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76" w:type="dxa"/>
            <w:tcBorders>
              <w:top w:val="nil"/>
              <w:left w:val="nil"/>
              <w:bottom w:val="single" w:sz="4" w:space="0" w:color="auto"/>
              <w:right w:val="single" w:sz="4" w:space="0" w:color="auto"/>
            </w:tcBorders>
            <w:shd w:val="clear" w:color="000000" w:fill="D9D9D9"/>
            <w:vAlign w:val="center"/>
            <w:hideMark/>
          </w:tcPr>
          <w:p w14:paraId="6F64EC61"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4.868</w:t>
            </w:r>
          </w:p>
        </w:tc>
        <w:tc>
          <w:tcPr>
            <w:tcW w:w="1076" w:type="dxa"/>
            <w:tcBorders>
              <w:top w:val="nil"/>
              <w:left w:val="nil"/>
              <w:bottom w:val="single" w:sz="4" w:space="0" w:color="auto"/>
              <w:right w:val="single" w:sz="4" w:space="0" w:color="auto"/>
            </w:tcBorders>
            <w:shd w:val="clear" w:color="000000" w:fill="D9D9D9"/>
            <w:vAlign w:val="center"/>
            <w:hideMark/>
          </w:tcPr>
          <w:p w14:paraId="0DCD376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7.52</w:t>
            </w:r>
            <w:r>
              <w:rPr>
                <w:rFonts w:eastAsia="Times New Roman" w:cs="Arial"/>
                <w:b/>
                <w:bCs/>
                <w:sz w:val="20"/>
                <w:szCs w:val="20"/>
                <w:lang w:eastAsia="en-GB"/>
              </w:rPr>
              <w:t>1</w:t>
            </w:r>
          </w:p>
        </w:tc>
        <w:tc>
          <w:tcPr>
            <w:tcW w:w="1076" w:type="dxa"/>
            <w:tcBorders>
              <w:top w:val="nil"/>
              <w:left w:val="nil"/>
              <w:bottom w:val="single" w:sz="4" w:space="0" w:color="auto"/>
              <w:right w:val="single" w:sz="4" w:space="0" w:color="auto"/>
            </w:tcBorders>
            <w:shd w:val="clear" w:color="000000" w:fill="D9D9D9"/>
            <w:vAlign w:val="center"/>
            <w:hideMark/>
          </w:tcPr>
          <w:p w14:paraId="14D449E9"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2.65</w:t>
            </w:r>
            <w:r>
              <w:rPr>
                <w:rFonts w:eastAsia="Times New Roman" w:cs="Arial"/>
                <w:b/>
                <w:bCs/>
                <w:sz w:val="20"/>
                <w:szCs w:val="20"/>
                <w:lang w:eastAsia="en-GB"/>
              </w:rPr>
              <w:t>3</w:t>
            </w:r>
          </w:p>
        </w:tc>
        <w:tc>
          <w:tcPr>
            <w:tcW w:w="943" w:type="dxa"/>
            <w:tcBorders>
              <w:top w:val="nil"/>
              <w:left w:val="nil"/>
              <w:bottom w:val="single" w:sz="4" w:space="0" w:color="auto"/>
              <w:right w:val="single" w:sz="4" w:space="0" w:color="auto"/>
            </w:tcBorders>
            <w:shd w:val="clear" w:color="000000" w:fill="D9D9D9"/>
            <w:vAlign w:val="center"/>
            <w:hideMark/>
          </w:tcPr>
          <w:p w14:paraId="2F24260B"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54.</w:t>
            </w:r>
            <w:r>
              <w:rPr>
                <w:rFonts w:eastAsia="Times New Roman" w:cs="Arial"/>
                <w:b/>
                <w:bCs/>
                <w:sz w:val="20"/>
                <w:szCs w:val="20"/>
                <w:lang w:eastAsia="en-GB"/>
              </w:rPr>
              <w:t>50</w:t>
            </w:r>
            <w:r w:rsidRPr="00B90474">
              <w:rPr>
                <w:rFonts w:eastAsia="Times New Roman" w:cs="Arial"/>
                <w:b/>
                <w:bCs/>
                <w:sz w:val="20"/>
                <w:szCs w:val="20"/>
                <w:lang w:eastAsia="en-GB"/>
              </w:rPr>
              <w:t>%</w:t>
            </w:r>
          </w:p>
        </w:tc>
        <w:tc>
          <w:tcPr>
            <w:tcW w:w="863" w:type="dxa"/>
            <w:tcBorders>
              <w:top w:val="nil"/>
              <w:left w:val="nil"/>
              <w:bottom w:val="single" w:sz="4" w:space="0" w:color="auto"/>
              <w:right w:val="single" w:sz="4" w:space="0" w:color="auto"/>
            </w:tcBorders>
            <w:shd w:val="clear" w:color="000000" w:fill="D9D9D9"/>
            <w:vAlign w:val="center"/>
            <w:hideMark/>
          </w:tcPr>
          <w:p w14:paraId="18D448E4"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0.094</w:t>
            </w:r>
          </w:p>
        </w:tc>
      </w:tr>
      <w:tr w:rsidR="002F12B1" w14:paraId="5EAF095A" w14:textId="77777777" w:rsidTr="00D10794">
        <w:trPr>
          <w:trHeight w:val="316"/>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647F5B1D"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76" w:type="dxa"/>
            <w:tcBorders>
              <w:top w:val="nil"/>
              <w:left w:val="nil"/>
              <w:bottom w:val="single" w:sz="4" w:space="0" w:color="auto"/>
              <w:right w:val="single" w:sz="4" w:space="0" w:color="auto"/>
            </w:tcBorders>
            <w:shd w:val="clear" w:color="auto" w:fill="auto"/>
            <w:vAlign w:val="center"/>
            <w:hideMark/>
          </w:tcPr>
          <w:p w14:paraId="04D7436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76" w:type="dxa"/>
            <w:tcBorders>
              <w:top w:val="nil"/>
              <w:left w:val="nil"/>
              <w:bottom w:val="single" w:sz="4" w:space="0" w:color="auto"/>
              <w:right w:val="single" w:sz="4" w:space="0" w:color="auto"/>
            </w:tcBorders>
            <w:shd w:val="clear" w:color="auto" w:fill="auto"/>
            <w:vAlign w:val="center"/>
            <w:hideMark/>
          </w:tcPr>
          <w:p w14:paraId="51416E0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-0.237</w:t>
            </w:r>
          </w:p>
        </w:tc>
        <w:tc>
          <w:tcPr>
            <w:tcW w:w="1076" w:type="dxa"/>
            <w:tcBorders>
              <w:top w:val="nil"/>
              <w:left w:val="nil"/>
              <w:bottom w:val="single" w:sz="4" w:space="0" w:color="auto"/>
              <w:right w:val="single" w:sz="4" w:space="0" w:color="auto"/>
            </w:tcBorders>
            <w:shd w:val="clear" w:color="000000" w:fill="D9D9D9"/>
            <w:vAlign w:val="center"/>
            <w:hideMark/>
          </w:tcPr>
          <w:p w14:paraId="5627EC4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-0.237</w:t>
            </w:r>
          </w:p>
        </w:tc>
        <w:tc>
          <w:tcPr>
            <w:tcW w:w="943" w:type="dxa"/>
            <w:tcBorders>
              <w:top w:val="nil"/>
              <w:left w:val="nil"/>
              <w:bottom w:val="single" w:sz="4" w:space="0" w:color="auto"/>
              <w:right w:val="single" w:sz="4" w:space="0" w:color="auto"/>
            </w:tcBorders>
            <w:shd w:val="clear" w:color="auto" w:fill="auto"/>
            <w:vAlign w:val="center"/>
            <w:hideMark/>
          </w:tcPr>
          <w:p w14:paraId="54A0F7F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63" w:type="dxa"/>
            <w:tcBorders>
              <w:top w:val="nil"/>
              <w:left w:val="nil"/>
              <w:bottom w:val="single" w:sz="4" w:space="0" w:color="auto"/>
              <w:right w:val="single" w:sz="4" w:space="0" w:color="auto"/>
            </w:tcBorders>
            <w:shd w:val="clear" w:color="000000" w:fill="D9D9D9"/>
            <w:vAlign w:val="center"/>
            <w:hideMark/>
          </w:tcPr>
          <w:p w14:paraId="3E55050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-0.247</w:t>
            </w:r>
          </w:p>
        </w:tc>
      </w:tr>
      <w:tr w:rsidR="002F12B1" w14:paraId="377A47B1" w14:textId="77777777" w:rsidTr="00D10794">
        <w:trPr>
          <w:trHeight w:val="331"/>
        </w:trPr>
        <w:tc>
          <w:tcPr>
            <w:tcW w:w="3893" w:type="dxa"/>
            <w:tcBorders>
              <w:top w:val="nil"/>
              <w:left w:val="single" w:sz="4" w:space="0" w:color="auto"/>
              <w:bottom w:val="single" w:sz="4" w:space="0" w:color="auto"/>
              <w:right w:val="single" w:sz="4" w:space="0" w:color="auto"/>
            </w:tcBorders>
            <w:shd w:val="clear" w:color="000000" w:fill="D9D9D9"/>
            <w:vAlign w:val="center"/>
            <w:hideMark/>
          </w:tcPr>
          <w:p w14:paraId="7C06AEC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Growth, Environment &amp; Planning</w:t>
            </w:r>
          </w:p>
        </w:tc>
        <w:tc>
          <w:tcPr>
            <w:tcW w:w="1076" w:type="dxa"/>
            <w:tcBorders>
              <w:top w:val="nil"/>
              <w:left w:val="nil"/>
              <w:bottom w:val="single" w:sz="4" w:space="0" w:color="auto"/>
              <w:right w:val="single" w:sz="4" w:space="0" w:color="auto"/>
            </w:tcBorders>
            <w:shd w:val="clear" w:color="000000" w:fill="D9D9D9"/>
            <w:vAlign w:val="center"/>
            <w:hideMark/>
          </w:tcPr>
          <w:p w14:paraId="276C673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4.868</w:t>
            </w:r>
          </w:p>
        </w:tc>
        <w:tc>
          <w:tcPr>
            <w:tcW w:w="1076" w:type="dxa"/>
            <w:tcBorders>
              <w:top w:val="nil"/>
              <w:left w:val="nil"/>
              <w:bottom w:val="single" w:sz="4" w:space="0" w:color="auto"/>
              <w:right w:val="single" w:sz="4" w:space="0" w:color="auto"/>
            </w:tcBorders>
            <w:shd w:val="clear" w:color="000000" w:fill="D9D9D9"/>
            <w:vAlign w:val="center"/>
            <w:hideMark/>
          </w:tcPr>
          <w:p w14:paraId="04C01E6B"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7.28</w:t>
            </w:r>
            <w:r>
              <w:rPr>
                <w:rFonts w:eastAsia="Times New Roman" w:cs="Arial"/>
                <w:b/>
                <w:bCs/>
                <w:sz w:val="20"/>
                <w:szCs w:val="20"/>
                <w:lang w:eastAsia="en-GB"/>
              </w:rPr>
              <w:t>4</w:t>
            </w:r>
          </w:p>
        </w:tc>
        <w:tc>
          <w:tcPr>
            <w:tcW w:w="1076" w:type="dxa"/>
            <w:tcBorders>
              <w:top w:val="nil"/>
              <w:left w:val="nil"/>
              <w:bottom w:val="single" w:sz="4" w:space="0" w:color="auto"/>
              <w:right w:val="single" w:sz="4" w:space="0" w:color="auto"/>
            </w:tcBorders>
            <w:shd w:val="clear" w:color="000000" w:fill="D9D9D9"/>
            <w:vAlign w:val="center"/>
            <w:hideMark/>
          </w:tcPr>
          <w:p w14:paraId="595BB142"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2.41</w:t>
            </w:r>
            <w:r>
              <w:rPr>
                <w:rFonts w:eastAsia="Times New Roman" w:cs="Arial"/>
                <w:b/>
                <w:bCs/>
                <w:sz w:val="20"/>
                <w:szCs w:val="20"/>
                <w:lang w:eastAsia="en-GB"/>
              </w:rPr>
              <w:t>6</w:t>
            </w:r>
          </w:p>
        </w:tc>
        <w:tc>
          <w:tcPr>
            <w:tcW w:w="943" w:type="dxa"/>
            <w:tcBorders>
              <w:top w:val="nil"/>
              <w:left w:val="nil"/>
              <w:bottom w:val="single" w:sz="4" w:space="0" w:color="auto"/>
              <w:right w:val="single" w:sz="4" w:space="0" w:color="auto"/>
            </w:tcBorders>
            <w:shd w:val="clear" w:color="000000" w:fill="D9D9D9"/>
            <w:vAlign w:val="center"/>
            <w:hideMark/>
          </w:tcPr>
          <w:p w14:paraId="2DAC084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49.6</w:t>
            </w:r>
            <w:r>
              <w:rPr>
                <w:rFonts w:eastAsia="Times New Roman" w:cs="Arial"/>
                <w:b/>
                <w:bCs/>
                <w:sz w:val="20"/>
                <w:szCs w:val="20"/>
                <w:lang w:eastAsia="en-GB"/>
              </w:rPr>
              <w:t>4</w:t>
            </w:r>
            <w:r w:rsidRPr="00B90474">
              <w:rPr>
                <w:rFonts w:eastAsia="Times New Roman" w:cs="Arial"/>
                <w:b/>
                <w:bCs/>
                <w:sz w:val="20"/>
                <w:szCs w:val="20"/>
                <w:lang w:eastAsia="en-GB"/>
              </w:rPr>
              <w:t>%</w:t>
            </w:r>
          </w:p>
        </w:tc>
        <w:tc>
          <w:tcPr>
            <w:tcW w:w="863" w:type="dxa"/>
            <w:tcBorders>
              <w:top w:val="nil"/>
              <w:left w:val="nil"/>
              <w:bottom w:val="single" w:sz="4" w:space="0" w:color="auto"/>
              <w:right w:val="single" w:sz="4" w:space="0" w:color="auto"/>
            </w:tcBorders>
            <w:shd w:val="clear" w:color="000000" w:fill="D9D9D9"/>
            <w:vAlign w:val="center"/>
            <w:hideMark/>
          </w:tcPr>
          <w:p w14:paraId="3BC609F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-0.153</w:t>
            </w:r>
          </w:p>
        </w:tc>
      </w:tr>
    </w:tbl>
    <w:p w14:paraId="691D12C9" w14:textId="77777777" w:rsidR="00D10794" w:rsidRPr="00C529BF" w:rsidRDefault="00D10794" w:rsidP="00D10794">
      <w:pPr>
        <w:spacing w:after="0"/>
        <w:rPr>
          <w:rFonts w:cs="Arial"/>
          <w:b/>
          <w:highlight w:val="yellow"/>
          <w:u w:val="single"/>
        </w:rPr>
      </w:pPr>
    </w:p>
    <w:p w14:paraId="1B669FC9" w14:textId="77777777" w:rsidR="00D10794" w:rsidRDefault="00D10794" w:rsidP="00D10794">
      <w:pPr>
        <w:spacing w:after="0"/>
        <w:rPr>
          <w:rFonts w:cs="Arial"/>
          <w:b/>
        </w:rPr>
      </w:pPr>
      <w:r w:rsidRPr="00D964E9">
        <w:rPr>
          <w:rFonts w:cs="Arial"/>
          <w:b/>
        </w:rPr>
        <w:t>Growth, Environment and Planning Services – overspend £2.41</w:t>
      </w:r>
      <w:r>
        <w:rPr>
          <w:rFonts w:cs="Arial"/>
          <w:b/>
        </w:rPr>
        <w:t>6</w:t>
      </w:r>
      <w:r w:rsidRPr="00D964E9">
        <w:rPr>
          <w:rFonts w:cs="Arial"/>
          <w:b/>
        </w:rPr>
        <w:t>m</w:t>
      </w:r>
    </w:p>
    <w:p w14:paraId="4B0C91AC" w14:textId="77777777" w:rsidR="00D10794" w:rsidRPr="00D964E9" w:rsidRDefault="00D10794" w:rsidP="00D10794">
      <w:pPr>
        <w:spacing w:after="0"/>
        <w:rPr>
          <w:rFonts w:cs="Arial"/>
          <w:bCs/>
        </w:rPr>
      </w:pPr>
      <w:r>
        <w:rPr>
          <w:rFonts w:cs="Arial"/>
          <w:bCs/>
        </w:rPr>
        <w:t xml:space="preserve">The main reason for the overspend within the service is due to a contribution to reserves to support future spend on low carbon projects. The Estates service has underspent due to staffing underspends and increased income. There were smaller under and overspends reported across other services. </w:t>
      </w:r>
    </w:p>
    <w:p w14:paraId="3C3D6168" w14:textId="77777777" w:rsidR="00D10794" w:rsidRPr="00D964E9" w:rsidRDefault="00D10794" w:rsidP="00D10794">
      <w:pPr>
        <w:spacing w:after="0"/>
        <w:rPr>
          <w:rFonts w:cs="Arial"/>
          <w:b/>
        </w:rPr>
      </w:pPr>
    </w:p>
    <w:p w14:paraId="19CE982B" w14:textId="77777777" w:rsidR="00D10794" w:rsidRPr="005F1DBD" w:rsidRDefault="00D10794" w:rsidP="00D10794">
      <w:pPr>
        <w:spacing w:after="0"/>
        <w:rPr>
          <w:rFonts w:cs="Arial"/>
        </w:rPr>
      </w:pPr>
      <w:r w:rsidRPr="00D964E9">
        <w:rPr>
          <w:rFonts w:cs="Arial"/>
        </w:rPr>
        <w:t xml:space="preserve">Growth, </w:t>
      </w:r>
      <w:proofErr w:type="gramStart"/>
      <w:r w:rsidRPr="00D964E9">
        <w:rPr>
          <w:rFonts w:cs="Arial"/>
        </w:rPr>
        <w:t>environment</w:t>
      </w:r>
      <w:proofErr w:type="gramEnd"/>
      <w:r w:rsidRPr="00D964E9">
        <w:rPr>
          <w:rFonts w:cs="Arial"/>
        </w:rPr>
        <w:t xml:space="preserve"> and planning services has been apportioned £237,000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25B064BE" w14:textId="77777777" w:rsidR="00D10794" w:rsidRPr="00C529BF" w:rsidRDefault="00D10794" w:rsidP="00D10794">
      <w:pPr>
        <w:autoSpaceDE/>
        <w:autoSpaceDN/>
        <w:adjustRightInd/>
        <w:spacing w:after="0"/>
        <w:rPr>
          <w:bCs/>
          <w:highlight w:val="yellow"/>
        </w:rPr>
      </w:pPr>
      <w:r w:rsidRPr="00C529BF">
        <w:rPr>
          <w:bCs/>
          <w:highlight w:val="yellow"/>
        </w:rPr>
        <w:br w:type="page"/>
      </w:r>
    </w:p>
    <w:p w14:paraId="7B158C8F" w14:textId="77777777" w:rsidR="00D10794" w:rsidRPr="00B90474" w:rsidRDefault="00D10794" w:rsidP="00D10794">
      <w:pPr>
        <w:spacing w:after="0"/>
        <w:rPr>
          <w:rFonts w:eastAsia="Times New Roman" w:cs="Arial"/>
          <w:b/>
          <w:lang w:eastAsia="en-GB"/>
        </w:rPr>
      </w:pPr>
      <w:r w:rsidRPr="00B90474">
        <w:rPr>
          <w:rFonts w:eastAsia="Times New Roman" w:cs="Arial"/>
          <w:b/>
          <w:lang w:eastAsia="en-GB"/>
        </w:rPr>
        <w:lastRenderedPageBreak/>
        <w:t>3.6</w:t>
      </w:r>
      <w:r w:rsidRPr="00B90474">
        <w:rPr>
          <w:rFonts w:eastAsia="Times New Roman" w:cs="Arial"/>
          <w:b/>
          <w:lang w:eastAsia="en-GB"/>
        </w:rPr>
        <w:tab/>
        <w:t xml:space="preserve">Highways and Transport </w:t>
      </w:r>
    </w:p>
    <w:p w14:paraId="04BE4B5B" w14:textId="77777777" w:rsidR="00D10794" w:rsidRPr="00C529BF" w:rsidRDefault="00D10794" w:rsidP="00D10794">
      <w:pPr>
        <w:spacing w:after="0"/>
        <w:rPr>
          <w:rFonts w:cs="Arial"/>
          <w:highlight w:val="yellow"/>
        </w:rPr>
      </w:pPr>
    </w:p>
    <w:tbl>
      <w:tblPr>
        <w:tblW w:w="9096" w:type="dxa"/>
        <w:tblLook w:val="04A0" w:firstRow="1" w:lastRow="0" w:firstColumn="1" w:lastColumn="0" w:noHBand="0" w:noVBand="1"/>
      </w:tblPr>
      <w:tblGrid>
        <w:gridCol w:w="3676"/>
        <w:gridCol w:w="1150"/>
        <w:gridCol w:w="1079"/>
        <w:gridCol w:w="1091"/>
        <w:gridCol w:w="1050"/>
        <w:gridCol w:w="1050"/>
      </w:tblGrid>
      <w:tr w:rsidR="002F12B1" w14:paraId="7500BA66" w14:textId="77777777" w:rsidTr="00D10794">
        <w:trPr>
          <w:trHeight w:val="765"/>
        </w:trPr>
        <w:tc>
          <w:tcPr>
            <w:tcW w:w="3967" w:type="dxa"/>
            <w:tcBorders>
              <w:top w:val="single" w:sz="4" w:space="0" w:color="auto"/>
              <w:left w:val="single" w:sz="4" w:space="0" w:color="auto"/>
              <w:bottom w:val="nil"/>
              <w:right w:val="single" w:sz="4" w:space="0" w:color="auto"/>
            </w:tcBorders>
            <w:shd w:val="clear" w:color="000000" w:fill="D9D9D9"/>
            <w:vAlign w:val="center"/>
            <w:hideMark/>
          </w:tcPr>
          <w:p w14:paraId="135D89D9" w14:textId="77777777"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067E0E9F"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2D03938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96" w:type="dxa"/>
            <w:tcBorders>
              <w:top w:val="single" w:sz="4" w:space="0" w:color="auto"/>
              <w:left w:val="nil"/>
              <w:bottom w:val="single" w:sz="4" w:space="0" w:color="auto"/>
              <w:right w:val="single" w:sz="4" w:space="0" w:color="auto"/>
            </w:tcBorders>
            <w:shd w:val="clear" w:color="000000" w:fill="D9D9D9"/>
            <w:vAlign w:val="center"/>
            <w:hideMark/>
          </w:tcPr>
          <w:p w14:paraId="7D3E4FA4"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61" w:type="dxa"/>
            <w:tcBorders>
              <w:top w:val="single" w:sz="4" w:space="0" w:color="auto"/>
              <w:left w:val="nil"/>
              <w:bottom w:val="single" w:sz="4" w:space="0" w:color="auto"/>
              <w:right w:val="single" w:sz="4" w:space="0" w:color="auto"/>
            </w:tcBorders>
            <w:shd w:val="clear" w:color="000000" w:fill="D9D9D9"/>
            <w:vAlign w:val="center"/>
            <w:hideMark/>
          </w:tcPr>
          <w:p w14:paraId="5A8244FB"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14:paraId="529D3B8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54C80B84"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37FBC28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096" w:type="dxa"/>
            <w:tcBorders>
              <w:top w:val="nil"/>
              <w:left w:val="nil"/>
              <w:bottom w:val="single" w:sz="4" w:space="0" w:color="auto"/>
              <w:right w:val="single" w:sz="4" w:space="0" w:color="auto"/>
            </w:tcBorders>
            <w:shd w:val="clear" w:color="000000" w:fill="D9D9D9"/>
            <w:vAlign w:val="center"/>
            <w:hideMark/>
          </w:tcPr>
          <w:p w14:paraId="5062AF66"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96" w:type="dxa"/>
            <w:tcBorders>
              <w:top w:val="nil"/>
              <w:left w:val="nil"/>
              <w:bottom w:val="single" w:sz="4" w:space="0" w:color="auto"/>
              <w:right w:val="single" w:sz="4" w:space="0" w:color="auto"/>
            </w:tcBorders>
            <w:shd w:val="clear" w:color="000000" w:fill="D9D9D9"/>
            <w:vAlign w:val="center"/>
            <w:hideMark/>
          </w:tcPr>
          <w:p w14:paraId="74EFCDA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96" w:type="dxa"/>
            <w:tcBorders>
              <w:top w:val="nil"/>
              <w:left w:val="nil"/>
              <w:bottom w:val="single" w:sz="4" w:space="0" w:color="auto"/>
              <w:right w:val="single" w:sz="4" w:space="0" w:color="auto"/>
            </w:tcBorders>
            <w:shd w:val="clear" w:color="000000" w:fill="D9D9D9"/>
            <w:vAlign w:val="center"/>
            <w:hideMark/>
          </w:tcPr>
          <w:p w14:paraId="2EB11AD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61" w:type="dxa"/>
            <w:tcBorders>
              <w:top w:val="nil"/>
              <w:left w:val="nil"/>
              <w:bottom w:val="single" w:sz="4" w:space="0" w:color="auto"/>
              <w:right w:val="single" w:sz="4" w:space="0" w:color="auto"/>
            </w:tcBorders>
            <w:shd w:val="clear" w:color="000000" w:fill="D9D9D9"/>
            <w:vAlign w:val="center"/>
            <w:hideMark/>
          </w:tcPr>
          <w:p w14:paraId="5B608E17"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80" w:type="dxa"/>
            <w:tcBorders>
              <w:top w:val="nil"/>
              <w:left w:val="nil"/>
              <w:bottom w:val="single" w:sz="4" w:space="0" w:color="auto"/>
              <w:right w:val="single" w:sz="4" w:space="0" w:color="auto"/>
            </w:tcBorders>
            <w:shd w:val="clear" w:color="000000" w:fill="D9D9D9"/>
            <w:vAlign w:val="center"/>
            <w:hideMark/>
          </w:tcPr>
          <w:p w14:paraId="2237E139"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0EB48A80"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196EAF8E"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Highways</w:t>
            </w:r>
          </w:p>
        </w:tc>
        <w:tc>
          <w:tcPr>
            <w:tcW w:w="1096" w:type="dxa"/>
            <w:tcBorders>
              <w:top w:val="nil"/>
              <w:left w:val="nil"/>
              <w:bottom w:val="single" w:sz="4" w:space="0" w:color="auto"/>
              <w:right w:val="single" w:sz="4" w:space="0" w:color="auto"/>
            </w:tcBorders>
            <w:shd w:val="clear" w:color="auto" w:fill="auto"/>
            <w:vAlign w:val="center"/>
            <w:hideMark/>
          </w:tcPr>
          <w:p w14:paraId="4651A3F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12.587</w:t>
            </w:r>
          </w:p>
        </w:tc>
        <w:tc>
          <w:tcPr>
            <w:tcW w:w="1096" w:type="dxa"/>
            <w:tcBorders>
              <w:top w:val="nil"/>
              <w:left w:val="nil"/>
              <w:bottom w:val="single" w:sz="4" w:space="0" w:color="auto"/>
              <w:right w:val="single" w:sz="4" w:space="0" w:color="auto"/>
            </w:tcBorders>
            <w:shd w:val="clear" w:color="auto" w:fill="auto"/>
            <w:vAlign w:val="center"/>
            <w:hideMark/>
          </w:tcPr>
          <w:p w14:paraId="450B27B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21.310</w:t>
            </w:r>
          </w:p>
        </w:tc>
        <w:tc>
          <w:tcPr>
            <w:tcW w:w="1096" w:type="dxa"/>
            <w:tcBorders>
              <w:top w:val="nil"/>
              <w:left w:val="nil"/>
              <w:bottom w:val="single" w:sz="4" w:space="0" w:color="auto"/>
              <w:right w:val="single" w:sz="4" w:space="0" w:color="auto"/>
            </w:tcBorders>
            <w:shd w:val="clear" w:color="000000" w:fill="D9D9D9"/>
            <w:vAlign w:val="center"/>
            <w:hideMark/>
          </w:tcPr>
          <w:p w14:paraId="57FFAF8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8.723</w:t>
            </w:r>
          </w:p>
        </w:tc>
        <w:tc>
          <w:tcPr>
            <w:tcW w:w="961" w:type="dxa"/>
            <w:tcBorders>
              <w:top w:val="nil"/>
              <w:left w:val="nil"/>
              <w:bottom w:val="single" w:sz="4" w:space="0" w:color="auto"/>
              <w:right w:val="single" w:sz="4" w:space="0" w:color="auto"/>
            </w:tcBorders>
            <w:shd w:val="clear" w:color="auto" w:fill="auto"/>
            <w:vAlign w:val="center"/>
            <w:hideMark/>
          </w:tcPr>
          <w:p w14:paraId="06FCFD2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69.30%</w:t>
            </w:r>
          </w:p>
        </w:tc>
        <w:tc>
          <w:tcPr>
            <w:tcW w:w="880" w:type="dxa"/>
            <w:tcBorders>
              <w:top w:val="nil"/>
              <w:left w:val="nil"/>
              <w:bottom w:val="single" w:sz="4" w:space="0" w:color="auto"/>
              <w:right w:val="single" w:sz="4" w:space="0" w:color="auto"/>
            </w:tcBorders>
            <w:shd w:val="clear" w:color="000000" w:fill="D9D9D9"/>
            <w:vAlign w:val="center"/>
            <w:hideMark/>
          </w:tcPr>
          <w:p w14:paraId="3287618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6.378</w:t>
            </w:r>
          </w:p>
        </w:tc>
      </w:tr>
      <w:tr w:rsidR="002F12B1" w14:paraId="6F707EC4"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3F3214E9"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Public &amp; Integrated Transport</w:t>
            </w:r>
          </w:p>
        </w:tc>
        <w:tc>
          <w:tcPr>
            <w:tcW w:w="1096" w:type="dxa"/>
            <w:tcBorders>
              <w:top w:val="nil"/>
              <w:left w:val="nil"/>
              <w:bottom w:val="single" w:sz="4" w:space="0" w:color="auto"/>
              <w:right w:val="single" w:sz="4" w:space="0" w:color="auto"/>
            </w:tcBorders>
            <w:shd w:val="clear" w:color="auto" w:fill="auto"/>
            <w:vAlign w:val="center"/>
            <w:hideMark/>
          </w:tcPr>
          <w:p w14:paraId="7F59024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53.390</w:t>
            </w:r>
          </w:p>
        </w:tc>
        <w:tc>
          <w:tcPr>
            <w:tcW w:w="1096" w:type="dxa"/>
            <w:tcBorders>
              <w:top w:val="nil"/>
              <w:left w:val="nil"/>
              <w:bottom w:val="single" w:sz="4" w:space="0" w:color="auto"/>
              <w:right w:val="single" w:sz="4" w:space="0" w:color="auto"/>
            </w:tcBorders>
            <w:shd w:val="clear" w:color="auto" w:fill="auto"/>
            <w:vAlign w:val="center"/>
            <w:hideMark/>
          </w:tcPr>
          <w:p w14:paraId="14B8B97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54.249</w:t>
            </w:r>
          </w:p>
        </w:tc>
        <w:tc>
          <w:tcPr>
            <w:tcW w:w="1096" w:type="dxa"/>
            <w:tcBorders>
              <w:top w:val="nil"/>
              <w:left w:val="nil"/>
              <w:bottom w:val="single" w:sz="4" w:space="0" w:color="auto"/>
              <w:right w:val="single" w:sz="4" w:space="0" w:color="auto"/>
            </w:tcBorders>
            <w:shd w:val="clear" w:color="000000" w:fill="D9D9D9"/>
            <w:vAlign w:val="center"/>
            <w:hideMark/>
          </w:tcPr>
          <w:p w14:paraId="0DAF6D6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0.859</w:t>
            </w:r>
          </w:p>
        </w:tc>
        <w:tc>
          <w:tcPr>
            <w:tcW w:w="961" w:type="dxa"/>
            <w:tcBorders>
              <w:top w:val="nil"/>
              <w:left w:val="nil"/>
              <w:bottom w:val="single" w:sz="4" w:space="0" w:color="auto"/>
              <w:right w:val="single" w:sz="4" w:space="0" w:color="auto"/>
            </w:tcBorders>
            <w:shd w:val="clear" w:color="auto" w:fill="auto"/>
            <w:vAlign w:val="center"/>
            <w:hideMark/>
          </w:tcPr>
          <w:p w14:paraId="1E04251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1.61%</w:t>
            </w:r>
          </w:p>
        </w:tc>
        <w:tc>
          <w:tcPr>
            <w:tcW w:w="880" w:type="dxa"/>
            <w:tcBorders>
              <w:top w:val="nil"/>
              <w:left w:val="nil"/>
              <w:bottom w:val="single" w:sz="4" w:space="0" w:color="auto"/>
              <w:right w:val="single" w:sz="4" w:space="0" w:color="auto"/>
            </w:tcBorders>
            <w:shd w:val="clear" w:color="000000" w:fill="D9D9D9"/>
            <w:vAlign w:val="center"/>
            <w:hideMark/>
          </w:tcPr>
          <w:p w14:paraId="200EB63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0.291</w:t>
            </w:r>
          </w:p>
        </w:tc>
      </w:tr>
      <w:tr w:rsidR="002F12B1" w14:paraId="72A47565"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49BC26E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Customer Access</w:t>
            </w:r>
          </w:p>
        </w:tc>
        <w:tc>
          <w:tcPr>
            <w:tcW w:w="1096" w:type="dxa"/>
            <w:tcBorders>
              <w:top w:val="nil"/>
              <w:left w:val="nil"/>
              <w:bottom w:val="single" w:sz="4" w:space="0" w:color="auto"/>
              <w:right w:val="single" w:sz="4" w:space="0" w:color="auto"/>
            </w:tcBorders>
            <w:shd w:val="clear" w:color="auto" w:fill="auto"/>
            <w:vAlign w:val="center"/>
            <w:hideMark/>
          </w:tcPr>
          <w:p w14:paraId="522D55F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2.621</w:t>
            </w:r>
          </w:p>
        </w:tc>
        <w:tc>
          <w:tcPr>
            <w:tcW w:w="1096" w:type="dxa"/>
            <w:tcBorders>
              <w:top w:val="nil"/>
              <w:left w:val="nil"/>
              <w:bottom w:val="single" w:sz="4" w:space="0" w:color="auto"/>
              <w:right w:val="single" w:sz="4" w:space="0" w:color="auto"/>
            </w:tcBorders>
            <w:shd w:val="clear" w:color="auto" w:fill="auto"/>
            <w:vAlign w:val="center"/>
            <w:hideMark/>
          </w:tcPr>
          <w:p w14:paraId="3046D93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3.327</w:t>
            </w:r>
          </w:p>
        </w:tc>
        <w:tc>
          <w:tcPr>
            <w:tcW w:w="1096" w:type="dxa"/>
            <w:tcBorders>
              <w:top w:val="nil"/>
              <w:left w:val="nil"/>
              <w:bottom w:val="single" w:sz="4" w:space="0" w:color="auto"/>
              <w:right w:val="single" w:sz="4" w:space="0" w:color="auto"/>
            </w:tcBorders>
            <w:shd w:val="clear" w:color="000000" w:fill="D9D9D9"/>
            <w:vAlign w:val="center"/>
            <w:hideMark/>
          </w:tcPr>
          <w:p w14:paraId="2907E49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0.706</w:t>
            </w:r>
          </w:p>
        </w:tc>
        <w:tc>
          <w:tcPr>
            <w:tcW w:w="961" w:type="dxa"/>
            <w:tcBorders>
              <w:top w:val="nil"/>
              <w:left w:val="nil"/>
              <w:bottom w:val="single" w:sz="4" w:space="0" w:color="auto"/>
              <w:right w:val="single" w:sz="4" w:space="0" w:color="auto"/>
            </w:tcBorders>
            <w:shd w:val="clear" w:color="auto" w:fill="auto"/>
            <w:vAlign w:val="center"/>
            <w:hideMark/>
          </w:tcPr>
          <w:p w14:paraId="2ED8D43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26.94%</w:t>
            </w:r>
          </w:p>
        </w:tc>
        <w:tc>
          <w:tcPr>
            <w:tcW w:w="880" w:type="dxa"/>
            <w:tcBorders>
              <w:top w:val="nil"/>
              <w:left w:val="nil"/>
              <w:bottom w:val="single" w:sz="4" w:space="0" w:color="auto"/>
              <w:right w:val="single" w:sz="4" w:space="0" w:color="auto"/>
            </w:tcBorders>
            <w:shd w:val="clear" w:color="000000" w:fill="D9D9D9"/>
            <w:vAlign w:val="center"/>
            <w:hideMark/>
          </w:tcPr>
          <w:p w14:paraId="4F5107C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0.754</w:t>
            </w:r>
          </w:p>
        </w:tc>
      </w:tr>
      <w:tr w:rsidR="002F12B1" w14:paraId="61B4C733"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2A38998E"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Design and Construction</w:t>
            </w:r>
          </w:p>
        </w:tc>
        <w:tc>
          <w:tcPr>
            <w:tcW w:w="1096" w:type="dxa"/>
            <w:tcBorders>
              <w:top w:val="nil"/>
              <w:left w:val="nil"/>
              <w:bottom w:val="single" w:sz="4" w:space="0" w:color="auto"/>
              <w:right w:val="single" w:sz="4" w:space="0" w:color="auto"/>
            </w:tcBorders>
            <w:shd w:val="clear" w:color="auto" w:fill="auto"/>
            <w:vAlign w:val="center"/>
            <w:hideMark/>
          </w:tcPr>
          <w:p w14:paraId="5867ABC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-3.003</w:t>
            </w:r>
          </w:p>
        </w:tc>
        <w:tc>
          <w:tcPr>
            <w:tcW w:w="1096" w:type="dxa"/>
            <w:tcBorders>
              <w:top w:val="nil"/>
              <w:left w:val="nil"/>
              <w:bottom w:val="single" w:sz="4" w:space="0" w:color="auto"/>
              <w:right w:val="single" w:sz="4" w:space="0" w:color="auto"/>
            </w:tcBorders>
            <w:shd w:val="clear" w:color="auto" w:fill="auto"/>
            <w:vAlign w:val="center"/>
            <w:hideMark/>
          </w:tcPr>
          <w:p w14:paraId="1C3617A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-1.268</w:t>
            </w:r>
          </w:p>
        </w:tc>
        <w:tc>
          <w:tcPr>
            <w:tcW w:w="1096" w:type="dxa"/>
            <w:tcBorders>
              <w:top w:val="nil"/>
              <w:left w:val="nil"/>
              <w:bottom w:val="single" w:sz="4" w:space="0" w:color="auto"/>
              <w:right w:val="single" w:sz="4" w:space="0" w:color="auto"/>
            </w:tcBorders>
            <w:shd w:val="clear" w:color="000000" w:fill="D9D9D9"/>
            <w:vAlign w:val="center"/>
            <w:hideMark/>
          </w:tcPr>
          <w:p w14:paraId="623584F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1.735</w:t>
            </w:r>
          </w:p>
        </w:tc>
        <w:tc>
          <w:tcPr>
            <w:tcW w:w="961" w:type="dxa"/>
            <w:tcBorders>
              <w:top w:val="nil"/>
              <w:left w:val="nil"/>
              <w:bottom w:val="single" w:sz="4" w:space="0" w:color="auto"/>
              <w:right w:val="single" w:sz="4" w:space="0" w:color="auto"/>
            </w:tcBorders>
            <w:shd w:val="clear" w:color="auto" w:fill="auto"/>
            <w:vAlign w:val="center"/>
            <w:hideMark/>
          </w:tcPr>
          <w:p w14:paraId="3A3B76F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57.78%</w:t>
            </w:r>
          </w:p>
        </w:tc>
        <w:tc>
          <w:tcPr>
            <w:tcW w:w="880" w:type="dxa"/>
            <w:tcBorders>
              <w:top w:val="nil"/>
              <w:left w:val="nil"/>
              <w:bottom w:val="single" w:sz="4" w:space="0" w:color="auto"/>
              <w:right w:val="single" w:sz="4" w:space="0" w:color="auto"/>
            </w:tcBorders>
            <w:shd w:val="clear" w:color="000000" w:fill="D9D9D9"/>
            <w:vAlign w:val="center"/>
            <w:hideMark/>
          </w:tcPr>
          <w:p w14:paraId="164EA24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1.609</w:t>
            </w:r>
          </w:p>
        </w:tc>
      </w:tr>
      <w:tr w:rsidR="002F12B1" w14:paraId="6B37B4E1"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6F4AD2F4"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96" w:type="dxa"/>
            <w:tcBorders>
              <w:top w:val="nil"/>
              <w:left w:val="nil"/>
              <w:bottom w:val="single" w:sz="4" w:space="0" w:color="auto"/>
              <w:right w:val="single" w:sz="4" w:space="0" w:color="auto"/>
            </w:tcBorders>
            <w:shd w:val="clear" w:color="000000" w:fill="D9D9D9"/>
            <w:vAlign w:val="center"/>
            <w:hideMark/>
          </w:tcPr>
          <w:p w14:paraId="248BDC4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65.595</w:t>
            </w:r>
          </w:p>
        </w:tc>
        <w:tc>
          <w:tcPr>
            <w:tcW w:w="1096" w:type="dxa"/>
            <w:tcBorders>
              <w:top w:val="nil"/>
              <w:left w:val="nil"/>
              <w:bottom w:val="single" w:sz="4" w:space="0" w:color="auto"/>
              <w:right w:val="single" w:sz="4" w:space="0" w:color="auto"/>
            </w:tcBorders>
            <w:shd w:val="clear" w:color="000000" w:fill="D9D9D9"/>
            <w:vAlign w:val="center"/>
            <w:hideMark/>
          </w:tcPr>
          <w:p w14:paraId="248DFFD6"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77.618</w:t>
            </w:r>
          </w:p>
        </w:tc>
        <w:tc>
          <w:tcPr>
            <w:tcW w:w="1096" w:type="dxa"/>
            <w:tcBorders>
              <w:top w:val="nil"/>
              <w:left w:val="nil"/>
              <w:bottom w:val="single" w:sz="4" w:space="0" w:color="auto"/>
              <w:right w:val="single" w:sz="4" w:space="0" w:color="auto"/>
            </w:tcBorders>
            <w:shd w:val="clear" w:color="000000" w:fill="D9D9D9"/>
            <w:vAlign w:val="center"/>
            <w:hideMark/>
          </w:tcPr>
          <w:p w14:paraId="769C7421"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12.023</w:t>
            </w:r>
          </w:p>
        </w:tc>
        <w:tc>
          <w:tcPr>
            <w:tcW w:w="961" w:type="dxa"/>
            <w:tcBorders>
              <w:top w:val="nil"/>
              <w:left w:val="nil"/>
              <w:bottom w:val="single" w:sz="4" w:space="0" w:color="auto"/>
              <w:right w:val="single" w:sz="4" w:space="0" w:color="auto"/>
            </w:tcBorders>
            <w:shd w:val="clear" w:color="000000" w:fill="D9D9D9"/>
            <w:vAlign w:val="center"/>
            <w:hideMark/>
          </w:tcPr>
          <w:p w14:paraId="6B20097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18.33%</w:t>
            </w:r>
          </w:p>
        </w:tc>
        <w:tc>
          <w:tcPr>
            <w:tcW w:w="880" w:type="dxa"/>
            <w:tcBorders>
              <w:top w:val="nil"/>
              <w:left w:val="nil"/>
              <w:bottom w:val="single" w:sz="4" w:space="0" w:color="auto"/>
              <w:right w:val="single" w:sz="4" w:space="0" w:color="auto"/>
            </w:tcBorders>
            <w:shd w:val="clear" w:color="000000" w:fill="D9D9D9"/>
            <w:vAlign w:val="center"/>
            <w:hideMark/>
          </w:tcPr>
          <w:p w14:paraId="47177D8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9.032</w:t>
            </w:r>
          </w:p>
        </w:tc>
      </w:tr>
      <w:tr w:rsidR="002F12B1" w14:paraId="25E0ACE9"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5322F9D9"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96" w:type="dxa"/>
            <w:tcBorders>
              <w:top w:val="nil"/>
              <w:left w:val="nil"/>
              <w:bottom w:val="single" w:sz="4" w:space="0" w:color="auto"/>
              <w:right w:val="single" w:sz="4" w:space="0" w:color="auto"/>
            </w:tcBorders>
            <w:shd w:val="clear" w:color="auto" w:fill="auto"/>
            <w:vAlign w:val="center"/>
            <w:hideMark/>
          </w:tcPr>
          <w:p w14:paraId="7FD7D91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96" w:type="dxa"/>
            <w:tcBorders>
              <w:top w:val="nil"/>
              <w:left w:val="nil"/>
              <w:bottom w:val="single" w:sz="4" w:space="0" w:color="auto"/>
              <w:right w:val="single" w:sz="4" w:space="0" w:color="auto"/>
            </w:tcBorders>
            <w:shd w:val="clear" w:color="auto" w:fill="auto"/>
            <w:vAlign w:val="center"/>
            <w:hideMark/>
          </w:tcPr>
          <w:p w14:paraId="16AF35D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-1.566</w:t>
            </w:r>
          </w:p>
        </w:tc>
        <w:tc>
          <w:tcPr>
            <w:tcW w:w="1096" w:type="dxa"/>
            <w:tcBorders>
              <w:top w:val="nil"/>
              <w:left w:val="nil"/>
              <w:bottom w:val="single" w:sz="4" w:space="0" w:color="auto"/>
              <w:right w:val="single" w:sz="4" w:space="0" w:color="auto"/>
            </w:tcBorders>
            <w:shd w:val="clear" w:color="000000" w:fill="D9D9D9"/>
            <w:vAlign w:val="center"/>
            <w:hideMark/>
          </w:tcPr>
          <w:p w14:paraId="5AB1833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-1.566</w:t>
            </w:r>
          </w:p>
        </w:tc>
        <w:tc>
          <w:tcPr>
            <w:tcW w:w="961" w:type="dxa"/>
            <w:tcBorders>
              <w:top w:val="nil"/>
              <w:left w:val="nil"/>
              <w:bottom w:val="single" w:sz="4" w:space="0" w:color="auto"/>
              <w:right w:val="single" w:sz="4" w:space="0" w:color="auto"/>
            </w:tcBorders>
            <w:shd w:val="clear" w:color="auto" w:fill="auto"/>
            <w:vAlign w:val="center"/>
            <w:hideMark/>
          </w:tcPr>
          <w:p w14:paraId="67030C4C" w14:textId="77777777" w:rsidR="00D10794" w:rsidRPr="00B90474" w:rsidRDefault="00D10794" w:rsidP="00D10794">
            <w:pPr>
              <w:autoSpaceDE/>
              <w:autoSpaceDN/>
              <w:adjustRightInd/>
              <w:spacing w:after="0"/>
              <w:jc w:val="left"/>
              <w:rPr>
                <w:rFonts w:eastAsia="Times New Roman" w:cs="Arial"/>
                <w:sz w:val="20"/>
                <w:szCs w:val="20"/>
                <w:lang w:eastAsia="en-GB"/>
              </w:rPr>
            </w:pPr>
            <w:r w:rsidRPr="00B90474">
              <w:rPr>
                <w:rFonts w:eastAsia="Times New Roman" w:cs="Arial"/>
                <w:sz w:val="20"/>
                <w:szCs w:val="20"/>
                <w:lang w:eastAsia="en-GB"/>
              </w:rPr>
              <w:t> </w:t>
            </w:r>
          </w:p>
        </w:tc>
        <w:tc>
          <w:tcPr>
            <w:tcW w:w="880" w:type="dxa"/>
            <w:tcBorders>
              <w:top w:val="nil"/>
              <w:left w:val="nil"/>
              <w:bottom w:val="single" w:sz="4" w:space="0" w:color="auto"/>
              <w:right w:val="single" w:sz="4" w:space="0" w:color="auto"/>
            </w:tcBorders>
            <w:shd w:val="clear" w:color="000000" w:fill="D9D9D9"/>
            <w:vAlign w:val="center"/>
            <w:hideMark/>
          </w:tcPr>
          <w:p w14:paraId="7AFBB87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-2.416</w:t>
            </w:r>
          </w:p>
        </w:tc>
      </w:tr>
      <w:tr w:rsidR="002F12B1" w14:paraId="70C5590E" w14:textId="77777777" w:rsidTr="00D10794">
        <w:trPr>
          <w:trHeight w:val="300"/>
        </w:trPr>
        <w:tc>
          <w:tcPr>
            <w:tcW w:w="3967" w:type="dxa"/>
            <w:tcBorders>
              <w:top w:val="nil"/>
              <w:left w:val="single" w:sz="4" w:space="0" w:color="auto"/>
              <w:bottom w:val="single" w:sz="4" w:space="0" w:color="auto"/>
              <w:right w:val="single" w:sz="4" w:space="0" w:color="auto"/>
            </w:tcBorders>
            <w:shd w:val="clear" w:color="000000" w:fill="D9D9D9"/>
            <w:vAlign w:val="center"/>
            <w:hideMark/>
          </w:tcPr>
          <w:p w14:paraId="37562DE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Highways and Transport</w:t>
            </w:r>
          </w:p>
        </w:tc>
        <w:tc>
          <w:tcPr>
            <w:tcW w:w="1096" w:type="dxa"/>
            <w:tcBorders>
              <w:top w:val="nil"/>
              <w:left w:val="nil"/>
              <w:bottom w:val="single" w:sz="4" w:space="0" w:color="auto"/>
              <w:right w:val="single" w:sz="4" w:space="0" w:color="auto"/>
            </w:tcBorders>
            <w:shd w:val="clear" w:color="000000" w:fill="D9D9D9"/>
            <w:vAlign w:val="center"/>
            <w:hideMark/>
          </w:tcPr>
          <w:p w14:paraId="002BC6CC"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65.595</w:t>
            </w:r>
          </w:p>
        </w:tc>
        <w:tc>
          <w:tcPr>
            <w:tcW w:w="1096" w:type="dxa"/>
            <w:tcBorders>
              <w:top w:val="nil"/>
              <w:left w:val="nil"/>
              <w:bottom w:val="single" w:sz="4" w:space="0" w:color="auto"/>
              <w:right w:val="single" w:sz="4" w:space="0" w:color="auto"/>
            </w:tcBorders>
            <w:shd w:val="clear" w:color="000000" w:fill="D9D9D9"/>
            <w:vAlign w:val="center"/>
            <w:hideMark/>
          </w:tcPr>
          <w:p w14:paraId="2A76255A"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76.052</w:t>
            </w:r>
          </w:p>
        </w:tc>
        <w:tc>
          <w:tcPr>
            <w:tcW w:w="1096" w:type="dxa"/>
            <w:tcBorders>
              <w:top w:val="nil"/>
              <w:left w:val="nil"/>
              <w:bottom w:val="single" w:sz="4" w:space="0" w:color="auto"/>
              <w:right w:val="single" w:sz="4" w:space="0" w:color="auto"/>
            </w:tcBorders>
            <w:shd w:val="clear" w:color="000000" w:fill="D9D9D9"/>
            <w:vAlign w:val="center"/>
            <w:hideMark/>
          </w:tcPr>
          <w:p w14:paraId="1183ABB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10.457</w:t>
            </w:r>
          </w:p>
        </w:tc>
        <w:tc>
          <w:tcPr>
            <w:tcW w:w="961" w:type="dxa"/>
            <w:tcBorders>
              <w:top w:val="nil"/>
              <w:left w:val="nil"/>
              <w:bottom w:val="single" w:sz="4" w:space="0" w:color="auto"/>
              <w:right w:val="single" w:sz="4" w:space="0" w:color="auto"/>
            </w:tcBorders>
            <w:shd w:val="clear" w:color="000000" w:fill="D9D9D9"/>
            <w:vAlign w:val="center"/>
            <w:hideMark/>
          </w:tcPr>
          <w:p w14:paraId="036042D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15.94%</w:t>
            </w:r>
          </w:p>
        </w:tc>
        <w:tc>
          <w:tcPr>
            <w:tcW w:w="880" w:type="dxa"/>
            <w:tcBorders>
              <w:top w:val="nil"/>
              <w:left w:val="nil"/>
              <w:bottom w:val="single" w:sz="4" w:space="0" w:color="auto"/>
              <w:right w:val="single" w:sz="4" w:space="0" w:color="auto"/>
            </w:tcBorders>
            <w:shd w:val="clear" w:color="000000" w:fill="D9D9D9"/>
            <w:vAlign w:val="center"/>
            <w:hideMark/>
          </w:tcPr>
          <w:p w14:paraId="1EEFCE2D"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6.616</w:t>
            </w:r>
          </w:p>
        </w:tc>
      </w:tr>
    </w:tbl>
    <w:p w14:paraId="5DF65D94" w14:textId="77777777" w:rsidR="00D10794" w:rsidRPr="00C529BF" w:rsidRDefault="00D10794" w:rsidP="00D10794">
      <w:pPr>
        <w:spacing w:after="0"/>
        <w:rPr>
          <w:rFonts w:cs="Arial"/>
          <w:highlight w:val="yellow"/>
        </w:rPr>
      </w:pPr>
    </w:p>
    <w:p w14:paraId="4F70DB65" w14:textId="77777777" w:rsidR="00D10794" w:rsidRDefault="00D10794" w:rsidP="00D10794">
      <w:pPr>
        <w:spacing w:after="0"/>
        <w:contextualSpacing/>
        <w:rPr>
          <w:rFonts w:cs="Arial"/>
          <w:b/>
        </w:rPr>
      </w:pPr>
      <w:r w:rsidRPr="00705430">
        <w:rPr>
          <w:rFonts w:cs="Arial"/>
          <w:b/>
        </w:rPr>
        <w:t>Highways and Transport – overspend £10.457m</w:t>
      </w:r>
    </w:p>
    <w:p w14:paraId="379D895C" w14:textId="77777777" w:rsidR="00D10794" w:rsidRDefault="00D10794" w:rsidP="00D10794">
      <w:pPr>
        <w:spacing w:after="0"/>
        <w:contextualSpacing/>
        <w:rPr>
          <w:rFonts w:cs="Arial"/>
          <w:b/>
        </w:rPr>
      </w:pPr>
    </w:p>
    <w:p w14:paraId="31AB55D4" w14:textId="77777777" w:rsidR="00D10794" w:rsidRDefault="00D10794" w:rsidP="00D10794">
      <w:pPr>
        <w:spacing w:after="0"/>
        <w:contextualSpacing/>
        <w:rPr>
          <w:rFonts w:cs="Arial"/>
        </w:rPr>
      </w:pPr>
      <w:r w:rsidRPr="006C34A5">
        <w:rPr>
          <w:rFonts w:cs="Arial"/>
        </w:rPr>
        <w:t xml:space="preserve">The largest impact on the position in 2020/21 </w:t>
      </w:r>
      <w:r>
        <w:rPr>
          <w:rFonts w:cs="Arial"/>
        </w:rPr>
        <w:t>was</w:t>
      </w:r>
      <w:r w:rsidRPr="006C34A5">
        <w:rPr>
          <w:rFonts w:cs="Arial"/>
        </w:rPr>
        <w:t xml:space="preserve"> the impact of Covid-19. </w:t>
      </w:r>
      <w:r>
        <w:rPr>
          <w:rFonts w:cs="Arial"/>
        </w:rPr>
        <w:t>The main impacts were threefold,</w:t>
      </w:r>
      <w:r w:rsidRPr="006C34A5">
        <w:rPr>
          <w:rFonts w:cs="Arial"/>
        </w:rPr>
        <w:t xml:space="preserve"> additional costs, loss of income (net of any reduction in costs incurred earning income) and delayed delivery of savings.  </w:t>
      </w:r>
    </w:p>
    <w:p w14:paraId="150883D4" w14:textId="77777777" w:rsidR="00D10794" w:rsidRDefault="00D10794" w:rsidP="00D10794">
      <w:pPr>
        <w:spacing w:after="0"/>
        <w:contextualSpacing/>
        <w:rPr>
          <w:rFonts w:cs="Arial"/>
        </w:rPr>
      </w:pPr>
    </w:p>
    <w:p w14:paraId="02B61F61" w14:textId="77777777" w:rsidR="00D10794" w:rsidRPr="00622333" w:rsidRDefault="00D10794" w:rsidP="00D10794">
      <w:pPr>
        <w:spacing w:after="0"/>
        <w:contextualSpacing/>
        <w:rPr>
          <w:rFonts w:cs="Arial"/>
          <w:bCs/>
        </w:rPr>
      </w:pPr>
      <w:r w:rsidRPr="00622333">
        <w:rPr>
          <w:rFonts w:cs="Arial"/>
          <w:bCs/>
        </w:rPr>
        <w:t xml:space="preserve">In broad terms the most significant </w:t>
      </w:r>
      <w:r>
        <w:rPr>
          <w:rFonts w:cs="Arial"/>
          <w:bCs/>
        </w:rPr>
        <w:t xml:space="preserve">impact of Covid-19 </w:t>
      </w:r>
      <w:proofErr w:type="gramStart"/>
      <w:r>
        <w:rPr>
          <w:rFonts w:cs="Arial"/>
          <w:bCs/>
        </w:rPr>
        <w:t>are</w:t>
      </w:r>
      <w:proofErr w:type="gramEnd"/>
      <w:r>
        <w:rPr>
          <w:rFonts w:cs="Arial"/>
          <w:bCs/>
        </w:rPr>
        <w:t xml:space="preserve"> shown below.</w:t>
      </w:r>
    </w:p>
    <w:p w14:paraId="1FDE8B08" w14:textId="77777777" w:rsidR="00D10794" w:rsidRPr="00622333" w:rsidRDefault="00D10794" w:rsidP="00D10794">
      <w:pPr>
        <w:pStyle w:val="ListParagraph"/>
        <w:numPr>
          <w:ilvl w:val="0"/>
          <w:numId w:val="33"/>
        </w:numPr>
        <w:autoSpaceDE/>
        <w:autoSpaceDN/>
        <w:adjustRightInd/>
        <w:spacing w:after="0"/>
        <w:rPr>
          <w:rFonts w:cs="Arial"/>
        </w:rPr>
      </w:pPr>
      <w:r w:rsidRPr="00622333">
        <w:rPr>
          <w:rFonts w:cs="Arial"/>
        </w:rPr>
        <w:t>£6.</w:t>
      </w:r>
      <w:r>
        <w:rPr>
          <w:rFonts w:cs="Arial"/>
        </w:rPr>
        <w:t>4</w:t>
      </w:r>
      <w:r w:rsidRPr="00622333">
        <w:rPr>
          <w:rFonts w:cs="Arial"/>
        </w:rPr>
        <w:t>00m relating to lower income in highways, fleet services and design and construction.</w:t>
      </w:r>
    </w:p>
    <w:p w14:paraId="37886DA1" w14:textId="77777777" w:rsidR="00D10794" w:rsidRPr="00622333" w:rsidRDefault="00D10794" w:rsidP="00D10794">
      <w:pPr>
        <w:pStyle w:val="ListParagraph"/>
        <w:numPr>
          <w:ilvl w:val="0"/>
          <w:numId w:val="33"/>
        </w:numPr>
        <w:autoSpaceDE/>
        <w:autoSpaceDN/>
        <w:adjustRightInd/>
        <w:spacing w:after="0"/>
        <w:rPr>
          <w:rFonts w:cs="Arial"/>
        </w:rPr>
      </w:pPr>
      <w:r w:rsidRPr="00622333">
        <w:rPr>
          <w:rFonts w:cs="Arial"/>
        </w:rPr>
        <w:t>£2.900m relating to lower than budgeted highway works and overhead charges to capital predominantly due to less activity in April and May 2020.</w:t>
      </w:r>
    </w:p>
    <w:p w14:paraId="07E27B0E" w14:textId="77777777" w:rsidR="00D10794" w:rsidRPr="00622333" w:rsidRDefault="00D10794" w:rsidP="00D10794">
      <w:pPr>
        <w:pStyle w:val="ListParagraph"/>
        <w:numPr>
          <w:ilvl w:val="0"/>
          <w:numId w:val="33"/>
        </w:numPr>
        <w:autoSpaceDE/>
        <w:autoSpaceDN/>
        <w:adjustRightInd/>
        <w:spacing w:after="0"/>
        <w:rPr>
          <w:rFonts w:cs="Arial"/>
        </w:rPr>
      </w:pPr>
      <w:r w:rsidRPr="00622333">
        <w:rPr>
          <w:rFonts w:cs="Arial"/>
        </w:rPr>
        <w:t>£800,000 relating to delayed savings across services.</w:t>
      </w:r>
    </w:p>
    <w:p w14:paraId="16977918" w14:textId="77777777" w:rsidR="00D10794" w:rsidRDefault="00D10794" w:rsidP="00D10794">
      <w:pPr>
        <w:spacing w:after="0"/>
        <w:contextualSpacing/>
        <w:rPr>
          <w:rFonts w:cs="Arial"/>
          <w:b/>
        </w:rPr>
      </w:pPr>
    </w:p>
    <w:p w14:paraId="4C0D3940" w14:textId="77777777" w:rsidR="00D10794" w:rsidRDefault="00D10794" w:rsidP="00D10794">
      <w:pPr>
        <w:spacing w:after="0"/>
        <w:contextualSpacing/>
        <w:rPr>
          <w:rFonts w:cs="Arial"/>
        </w:rPr>
      </w:pPr>
      <w:r w:rsidRPr="00705430">
        <w:rPr>
          <w:rFonts w:cs="Arial"/>
        </w:rPr>
        <w:t xml:space="preserve">Highways and transport </w:t>
      </w:r>
      <w:proofErr w:type="gramStart"/>
      <w:r w:rsidRPr="00705430">
        <w:rPr>
          <w:rFonts w:cs="Arial"/>
        </w:rPr>
        <w:t>has</w:t>
      </w:r>
      <w:proofErr w:type="gramEnd"/>
      <w:r w:rsidRPr="00705430">
        <w:rPr>
          <w:rFonts w:cs="Arial"/>
        </w:rPr>
        <w:t xml:space="preserve"> been apportioned £1.566m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4A84CEB9" w14:textId="77777777" w:rsidR="00D10794" w:rsidRPr="00BC70A2" w:rsidRDefault="00D10794" w:rsidP="00D10794">
      <w:pPr>
        <w:spacing w:after="0"/>
        <w:contextualSpacing/>
        <w:rPr>
          <w:rFonts w:cs="Arial"/>
          <w:b/>
          <w:highlight w:val="green"/>
        </w:rPr>
      </w:pPr>
    </w:p>
    <w:p w14:paraId="3D087968" w14:textId="22F14CCB" w:rsidR="00D10794" w:rsidRPr="00373443" w:rsidRDefault="00D10794" w:rsidP="00D10794">
      <w:pPr>
        <w:spacing w:after="0"/>
        <w:rPr>
          <w:rFonts w:cs="Arial"/>
          <w:b/>
        </w:rPr>
      </w:pPr>
      <w:r w:rsidRPr="00705430">
        <w:rPr>
          <w:rFonts w:cs="Arial"/>
          <w:b/>
        </w:rPr>
        <w:t>Highways – overspend £8.723m</w:t>
      </w:r>
    </w:p>
    <w:p w14:paraId="09265437" w14:textId="77777777" w:rsidR="00D10794" w:rsidRPr="00705430" w:rsidRDefault="00D10794" w:rsidP="00D10794">
      <w:pPr>
        <w:spacing w:after="0"/>
        <w:contextualSpacing/>
        <w:rPr>
          <w:rFonts w:cs="Arial"/>
        </w:rPr>
      </w:pPr>
      <w:r w:rsidRPr="00705430">
        <w:rPr>
          <w:rFonts w:cs="Arial"/>
        </w:rPr>
        <w:t xml:space="preserve">Firstly, Covid-19 has impacted the amount of capital works delivered in 2020/21. This means that some labour and plant that would ordinarily be working on capital work and charged accordingly to capital projects has remained a revenue cost. In addition to these direct costs, lower overheads </w:t>
      </w:r>
      <w:r>
        <w:rPr>
          <w:rFonts w:cs="Arial"/>
        </w:rPr>
        <w:t>have been</w:t>
      </w:r>
      <w:r w:rsidRPr="00705430">
        <w:rPr>
          <w:rFonts w:cs="Arial"/>
        </w:rPr>
        <w:t xml:space="preserve"> charged to capital as these are based on value of work delivered.  These </w:t>
      </w:r>
      <w:r>
        <w:rPr>
          <w:rFonts w:cs="Arial"/>
        </w:rPr>
        <w:t>have</w:t>
      </w:r>
      <w:r w:rsidRPr="00705430">
        <w:rPr>
          <w:rFonts w:cs="Arial"/>
        </w:rPr>
        <w:t xml:space="preserve"> result</w:t>
      </w:r>
      <w:r>
        <w:rPr>
          <w:rFonts w:cs="Arial"/>
        </w:rPr>
        <w:t>ed</w:t>
      </w:r>
      <w:r w:rsidRPr="00705430">
        <w:rPr>
          <w:rFonts w:cs="Arial"/>
        </w:rPr>
        <w:t xml:space="preserve"> in </w:t>
      </w:r>
      <w:r>
        <w:rPr>
          <w:rFonts w:cs="Arial"/>
        </w:rPr>
        <w:t xml:space="preserve">an </w:t>
      </w:r>
      <w:r w:rsidRPr="00705430">
        <w:rPr>
          <w:rFonts w:cs="Arial"/>
        </w:rPr>
        <w:t>overspend of £2.915m.</w:t>
      </w:r>
    </w:p>
    <w:p w14:paraId="1E7975C2" w14:textId="77777777" w:rsidR="00D10794" w:rsidRPr="00BC70A2" w:rsidRDefault="00D10794" w:rsidP="00D10794">
      <w:pPr>
        <w:spacing w:after="0"/>
        <w:contextualSpacing/>
        <w:rPr>
          <w:rFonts w:cs="Arial"/>
          <w:highlight w:val="green"/>
        </w:rPr>
      </w:pPr>
    </w:p>
    <w:p w14:paraId="34A75AA9" w14:textId="77777777" w:rsidR="00D10794" w:rsidRDefault="00D10794" w:rsidP="00D10794">
      <w:pPr>
        <w:spacing w:after="0"/>
        <w:contextualSpacing/>
        <w:rPr>
          <w:rFonts w:cs="Arial"/>
        </w:rPr>
      </w:pPr>
      <w:r w:rsidRPr="00705430">
        <w:rPr>
          <w:rFonts w:cs="Arial"/>
        </w:rPr>
        <w:t xml:space="preserve">Secondly, Covid-19 has impacted the level of income expected to be received across the service. These income streams have been impacted to varying degrees by the pandemic and whilst future income levels are uncertain a pressure of £2.869m is </w:t>
      </w:r>
      <w:r>
        <w:rPr>
          <w:rFonts w:cs="Arial"/>
        </w:rPr>
        <w:t xml:space="preserve">reported as part of the 2020/21 outturn. </w:t>
      </w:r>
    </w:p>
    <w:p w14:paraId="134DCE4E" w14:textId="77777777" w:rsidR="00D10794" w:rsidRDefault="00D10794" w:rsidP="00D10794">
      <w:pPr>
        <w:spacing w:after="0"/>
        <w:contextualSpacing/>
        <w:rPr>
          <w:rFonts w:cs="Arial"/>
        </w:rPr>
      </w:pPr>
    </w:p>
    <w:p w14:paraId="2AF02FB3" w14:textId="77777777" w:rsidR="00D10794" w:rsidRDefault="00D10794" w:rsidP="00D10794">
      <w:pPr>
        <w:spacing w:after="0"/>
        <w:contextualSpacing/>
        <w:rPr>
          <w:rFonts w:cs="Arial"/>
        </w:rPr>
      </w:pPr>
      <w:r w:rsidRPr="00483175">
        <w:rPr>
          <w:rFonts w:cs="Arial"/>
        </w:rPr>
        <w:t>A</w:t>
      </w:r>
      <w:r>
        <w:rPr>
          <w:rFonts w:cs="Arial"/>
        </w:rPr>
        <w:t>n</w:t>
      </w:r>
      <w:r w:rsidRPr="00483175">
        <w:rPr>
          <w:rFonts w:cs="Arial"/>
        </w:rPr>
        <w:t xml:space="preserve"> overspend of £</w:t>
      </w:r>
      <w:r>
        <w:rPr>
          <w:rFonts w:cs="Arial"/>
        </w:rPr>
        <w:t>1</w:t>
      </w:r>
      <w:r w:rsidRPr="00483175">
        <w:rPr>
          <w:rFonts w:cs="Arial"/>
        </w:rPr>
        <w:t>.</w:t>
      </w:r>
      <w:r>
        <w:rPr>
          <w:rFonts w:cs="Arial"/>
        </w:rPr>
        <w:t>286</w:t>
      </w:r>
      <w:r w:rsidRPr="00483175">
        <w:rPr>
          <w:rFonts w:cs="Arial"/>
        </w:rPr>
        <w:t xml:space="preserve">m is </w:t>
      </w:r>
      <w:r>
        <w:rPr>
          <w:rFonts w:cs="Arial"/>
        </w:rPr>
        <w:t>reported</w:t>
      </w:r>
      <w:r w:rsidRPr="00483175">
        <w:rPr>
          <w:rFonts w:cs="Arial"/>
        </w:rPr>
        <w:t xml:space="preserve"> for severe weather. This factors in increased spend on storm damage and for winter gritting.</w:t>
      </w:r>
      <w:r>
        <w:rPr>
          <w:rFonts w:cs="Arial"/>
        </w:rPr>
        <w:t xml:space="preserve"> </w:t>
      </w:r>
      <w:r>
        <w:t>Further costs have been incurred due to due to social distancing requirements whereby only one person is allowed per vehicle.</w:t>
      </w:r>
    </w:p>
    <w:p w14:paraId="5B62A3B1" w14:textId="77777777" w:rsidR="00D10794" w:rsidRDefault="00D10794" w:rsidP="00D10794">
      <w:pPr>
        <w:spacing w:after="0"/>
        <w:contextualSpacing/>
        <w:rPr>
          <w:rFonts w:cs="Arial"/>
        </w:rPr>
      </w:pPr>
    </w:p>
    <w:p w14:paraId="722EA9F2" w14:textId="70B4652B" w:rsidR="00D10794" w:rsidRDefault="00D10794" w:rsidP="00D10794">
      <w:pPr>
        <w:spacing w:after="0"/>
        <w:contextualSpacing/>
        <w:rPr>
          <w:rFonts w:cs="Arial"/>
        </w:rPr>
      </w:pPr>
      <w:r>
        <w:rPr>
          <w:rFonts w:cs="Arial"/>
        </w:rPr>
        <w:t xml:space="preserve">A further overspend of £2.000m relates to an agreed revenue contribution to capital outlay (RCCO) to fund </w:t>
      </w:r>
      <w:r w:rsidR="00985EAE">
        <w:rPr>
          <w:rFonts w:cs="Arial"/>
        </w:rPr>
        <w:t xml:space="preserve">additional </w:t>
      </w:r>
      <w:r>
        <w:rPr>
          <w:rFonts w:cs="Arial"/>
        </w:rPr>
        <w:t>expenditure on structural defects.</w:t>
      </w:r>
    </w:p>
    <w:p w14:paraId="033A914B" w14:textId="77777777" w:rsidR="00D10794" w:rsidRDefault="00D10794" w:rsidP="00D10794">
      <w:pPr>
        <w:spacing w:after="0"/>
        <w:contextualSpacing/>
        <w:rPr>
          <w:rFonts w:cs="Arial"/>
        </w:rPr>
      </w:pPr>
    </w:p>
    <w:p w14:paraId="78E49EC5" w14:textId="77777777" w:rsidR="00D10794" w:rsidRPr="00705430" w:rsidRDefault="00D10794" w:rsidP="00D10794">
      <w:pPr>
        <w:spacing w:after="0"/>
        <w:contextualSpacing/>
        <w:rPr>
          <w:rFonts w:cs="Arial"/>
        </w:rPr>
      </w:pPr>
      <w:r>
        <w:rPr>
          <w:rFonts w:cs="Arial"/>
        </w:rPr>
        <w:lastRenderedPageBreak/>
        <w:t xml:space="preserve">Other smaller under and overspends are reported across other elements of the service. </w:t>
      </w:r>
    </w:p>
    <w:p w14:paraId="75ABD211" w14:textId="77777777" w:rsidR="00D10794" w:rsidRPr="00BC70A2" w:rsidRDefault="00D10794" w:rsidP="00D10794">
      <w:pPr>
        <w:spacing w:after="0"/>
        <w:contextualSpacing/>
        <w:rPr>
          <w:rFonts w:cs="Arial"/>
          <w:highlight w:val="green"/>
        </w:rPr>
      </w:pPr>
    </w:p>
    <w:p w14:paraId="5BA6D9AC" w14:textId="77777777" w:rsidR="00D10794" w:rsidRPr="00705430" w:rsidRDefault="00D10794" w:rsidP="00D10794">
      <w:pPr>
        <w:spacing w:after="0"/>
        <w:contextualSpacing/>
        <w:rPr>
          <w:rFonts w:cs="Arial"/>
          <w:b/>
        </w:rPr>
      </w:pPr>
      <w:r w:rsidRPr="00705430">
        <w:rPr>
          <w:rFonts w:cs="Arial"/>
          <w:b/>
        </w:rPr>
        <w:t>Public and Integrated Transport – overspend £859,000</w:t>
      </w:r>
    </w:p>
    <w:p w14:paraId="2AF9934C" w14:textId="77777777" w:rsidR="00D10794" w:rsidRPr="00705430" w:rsidRDefault="00D10794" w:rsidP="00D10794">
      <w:pPr>
        <w:spacing w:after="0"/>
        <w:rPr>
          <w:rFonts w:cs="Arial"/>
        </w:rPr>
      </w:pPr>
      <w:r w:rsidRPr="00705430">
        <w:rPr>
          <w:rFonts w:cs="Arial"/>
        </w:rPr>
        <w:t>Most parts of the public and integrated transport budget are affected by Covid-19 and the most significant forecast variances are detailed below.</w:t>
      </w:r>
    </w:p>
    <w:p w14:paraId="43948F18" w14:textId="77777777" w:rsidR="00D10794" w:rsidRPr="00BC70A2" w:rsidRDefault="00D10794" w:rsidP="00D10794">
      <w:pPr>
        <w:spacing w:after="0"/>
        <w:rPr>
          <w:rFonts w:cs="Arial"/>
          <w:b/>
          <w:highlight w:val="green"/>
        </w:rPr>
      </w:pPr>
    </w:p>
    <w:p w14:paraId="3542664F" w14:textId="77777777" w:rsidR="00D10794" w:rsidRPr="00F2288E" w:rsidRDefault="00D10794" w:rsidP="00D10794">
      <w:pPr>
        <w:spacing w:after="0"/>
        <w:rPr>
          <w:rFonts w:cs="Arial"/>
        </w:rPr>
      </w:pPr>
      <w:r w:rsidRPr="00F2288E">
        <w:rPr>
          <w:rFonts w:cs="Arial"/>
        </w:rPr>
        <w:t xml:space="preserve">School transport costs have </w:t>
      </w:r>
      <w:r>
        <w:rPr>
          <w:rFonts w:cs="Arial"/>
        </w:rPr>
        <w:t>underspent</w:t>
      </w:r>
      <w:r w:rsidRPr="00F2288E">
        <w:rPr>
          <w:rFonts w:cs="Arial"/>
        </w:rPr>
        <w:t xml:space="preserve"> by £492,000 due to </w:t>
      </w:r>
      <w:proofErr w:type="gramStart"/>
      <w:r w:rsidRPr="00F2288E">
        <w:rPr>
          <w:rFonts w:cs="Arial"/>
        </w:rPr>
        <w:t>a number of</w:t>
      </w:r>
      <w:proofErr w:type="gramEnd"/>
      <w:r w:rsidRPr="00F2288E">
        <w:rPr>
          <w:rFonts w:cs="Arial"/>
        </w:rPr>
        <w:t xml:space="preserve"> reasons</w:t>
      </w:r>
      <w:r>
        <w:rPr>
          <w:rFonts w:cs="Arial"/>
        </w:rPr>
        <w:t>,</w:t>
      </w:r>
      <w:r w:rsidRPr="00F2288E">
        <w:rPr>
          <w:rFonts w:cs="Arial"/>
        </w:rPr>
        <w:t xml:space="preserve"> </w:t>
      </w:r>
      <w:r>
        <w:rPr>
          <w:rFonts w:cs="Arial"/>
        </w:rPr>
        <w:t xml:space="preserve">adhering to social distancing has meant providing adding additional bus services although specific government grant funding has been received throughout the year to pay these costs. The other main reasons are detailed below. </w:t>
      </w:r>
    </w:p>
    <w:p w14:paraId="4F5BAF54" w14:textId="77777777" w:rsidR="00D10794" w:rsidRPr="00F2288E" w:rsidRDefault="00D10794" w:rsidP="00D10794">
      <w:pPr>
        <w:spacing w:after="0"/>
        <w:rPr>
          <w:rFonts w:cs="Arial"/>
        </w:rPr>
      </w:pPr>
    </w:p>
    <w:p w14:paraId="0B620010" w14:textId="77777777" w:rsidR="00D10794" w:rsidRDefault="00D10794" w:rsidP="00D10794">
      <w:pPr>
        <w:spacing w:after="0"/>
        <w:rPr>
          <w:rFonts w:cs="Arial"/>
          <w:highlight w:val="green"/>
        </w:rPr>
      </w:pPr>
      <w:r w:rsidRPr="00F2288E">
        <w:rPr>
          <w:rFonts w:cs="Arial"/>
        </w:rPr>
        <w:t xml:space="preserve">Payments made to taxi operators are being made based on contract values in line with government guidance. </w:t>
      </w:r>
      <w:r>
        <w:rPr>
          <w:rStyle w:val="normaltextrun"/>
          <w:rFonts w:cs="Arial"/>
        </w:rPr>
        <w:t>The impacts financially of this have been both positive and negative. During periods of lockdown and school closures, contract variation payments were all but eliminated. Ordinarily, pupils attending respite care or new pupils for example, would create a contract variation resulting in additional mileage-based payments. These were neither claimed nor required whilst schools were closed. Conversely, some journeys that would normally not have been paid, for example due to pupils not attending through illness, were still paid in line with the central government directive. Overall, financially the costs savings have outweighed the additional costs</w:t>
      </w:r>
      <w:r w:rsidRPr="00025EA1">
        <w:rPr>
          <w:rFonts w:cs="Arial"/>
        </w:rPr>
        <w:t>.</w:t>
      </w:r>
    </w:p>
    <w:p w14:paraId="49A9116C" w14:textId="77777777" w:rsidR="00D10794" w:rsidRDefault="00D10794" w:rsidP="00D10794">
      <w:pPr>
        <w:spacing w:after="0"/>
        <w:rPr>
          <w:rFonts w:cs="Arial"/>
          <w:highlight w:val="green"/>
        </w:rPr>
      </w:pPr>
    </w:p>
    <w:p w14:paraId="760E2B22" w14:textId="77777777" w:rsidR="00D10794" w:rsidRPr="00705430" w:rsidRDefault="00D10794" w:rsidP="00D10794">
      <w:pPr>
        <w:autoSpaceDE/>
        <w:autoSpaceDN/>
        <w:adjustRightInd/>
        <w:spacing w:after="0"/>
        <w:rPr>
          <w:rFonts w:cs="Arial"/>
        </w:rPr>
      </w:pPr>
      <w:r w:rsidRPr="00705430">
        <w:rPr>
          <w:rFonts w:cs="Arial"/>
        </w:rPr>
        <w:t>Delivery of budgeted savings of £400,000 relating to providing excluded pupils a bus pass rather than taxi transport was delayed due to the impact of Covid-19. This saving however this has been more than fully negated due to reduced passenger numbers and as stated above payments have been made based on contract value and these contracts are typically for one year only so the service was able to not renew a number of these contracts when schools reopened following the first lockdown in September.</w:t>
      </w:r>
    </w:p>
    <w:p w14:paraId="18999B75" w14:textId="77777777" w:rsidR="00D10794" w:rsidRPr="00BC70A2" w:rsidRDefault="00D10794" w:rsidP="00D10794">
      <w:pPr>
        <w:spacing w:after="0"/>
        <w:rPr>
          <w:rFonts w:cs="Arial"/>
          <w:highlight w:val="green"/>
        </w:rPr>
      </w:pPr>
    </w:p>
    <w:p w14:paraId="57EDA4C1" w14:textId="1E1BBC20" w:rsidR="00D10794" w:rsidRPr="00F2288E" w:rsidRDefault="00D10794" w:rsidP="00D10794">
      <w:pPr>
        <w:spacing w:after="0"/>
        <w:rPr>
          <w:rFonts w:cs="Arial"/>
        </w:rPr>
      </w:pPr>
      <w:r w:rsidRPr="00F2288E">
        <w:rPr>
          <w:rFonts w:cs="Arial"/>
        </w:rPr>
        <w:t>Overspends of £583,000 relate to fleet services, adherence to social distancing rules and additional hygiene measures to ensure staff are working safely is impacting on efficiency levels resulting in a reduction in income. Bus stations have overspent by £299,000. In part this relates to the closure of bus stations in the early part of lockdown impacting on departure fee income. However</w:t>
      </w:r>
      <w:r>
        <w:rPr>
          <w:rFonts w:cs="Arial"/>
        </w:rPr>
        <w:t>,</w:t>
      </w:r>
      <w:r w:rsidRPr="00F2288E">
        <w:rPr>
          <w:rFonts w:cs="Arial"/>
        </w:rPr>
        <w:t xml:space="preserve"> there is a recurrent pressure on departure fee income which should reduce over time as fees increase in line with a previous Cabinet decision. Public bus services have underspent by £717,000. As part of the budget amendment an additional £1.500m was added into the budget from 2020/21.  In addition</w:t>
      </w:r>
      <w:r>
        <w:rPr>
          <w:rFonts w:cs="Arial"/>
        </w:rPr>
        <w:t>,</w:t>
      </w:r>
      <w:r w:rsidRPr="00F2288E">
        <w:rPr>
          <w:rFonts w:cs="Arial"/>
        </w:rPr>
        <w:t xml:space="preserve"> the county council has received further government funding</w:t>
      </w:r>
      <w:r>
        <w:rPr>
          <w:rFonts w:cs="Arial"/>
        </w:rPr>
        <w:t xml:space="preserve"> to support bus services </w:t>
      </w:r>
      <w:proofErr w:type="gramStart"/>
      <w:r>
        <w:rPr>
          <w:rFonts w:cs="Arial"/>
        </w:rPr>
        <w:t>as a result of</w:t>
      </w:r>
      <w:proofErr w:type="gramEnd"/>
      <w:r>
        <w:rPr>
          <w:rFonts w:cs="Arial"/>
        </w:rPr>
        <w:t xml:space="preserve"> the Covid-19 pandemic.</w:t>
      </w:r>
      <w:r w:rsidRPr="00F2288E">
        <w:rPr>
          <w:rFonts w:cs="Arial"/>
        </w:rPr>
        <w:t xml:space="preserve">  Whilst additional services </w:t>
      </w:r>
      <w:r>
        <w:rPr>
          <w:rFonts w:cs="Arial"/>
        </w:rPr>
        <w:t>were</w:t>
      </w:r>
      <w:r w:rsidRPr="00F2288E">
        <w:rPr>
          <w:rFonts w:cs="Arial"/>
        </w:rPr>
        <w:t xml:space="preserve"> added during 2020/21 not </w:t>
      </w:r>
      <w:proofErr w:type="gramStart"/>
      <w:r w:rsidRPr="00F2288E">
        <w:rPr>
          <w:rFonts w:cs="Arial"/>
        </w:rPr>
        <w:t>all of</w:t>
      </w:r>
      <w:proofErr w:type="gramEnd"/>
      <w:r w:rsidRPr="00F2288E">
        <w:rPr>
          <w:rFonts w:cs="Arial"/>
        </w:rPr>
        <w:t xml:space="preserve"> the additional funding </w:t>
      </w:r>
      <w:r>
        <w:rPr>
          <w:rFonts w:cs="Arial"/>
        </w:rPr>
        <w:t>was</w:t>
      </w:r>
      <w:r w:rsidRPr="00F2288E">
        <w:rPr>
          <w:rFonts w:cs="Arial"/>
        </w:rPr>
        <w:t xml:space="preserve"> spent in 2020/21. </w:t>
      </w:r>
    </w:p>
    <w:p w14:paraId="52D6645E" w14:textId="77777777" w:rsidR="00D10794" w:rsidRPr="00F2288E" w:rsidRDefault="00D10794" w:rsidP="00D10794">
      <w:pPr>
        <w:spacing w:after="0"/>
        <w:rPr>
          <w:rFonts w:cs="Arial"/>
        </w:rPr>
      </w:pPr>
    </w:p>
    <w:p w14:paraId="05D54557" w14:textId="77777777" w:rsidR="00D10794" w:rsidRPr="00F2288E" w:rsidRDefault="00D10794" w:rsidP="00D10794">
      <w:pPr>
        <w:spacing w:after="0"/>
        <w:rPr>
          <w:rFonts w:cs="Arial"/>
          <w:b/>
        </w:rPr>
      </w:pPr>
      <w:r w:rsidRPr="00F2288E">
        <w:rPr>
          <w:rFonts w:cs="Arial"/>
        </w:rPr>
        <w:t>Concessionary travel has reported an underspend of £1.657m. Payments to bus operators continue to be made based of historic passenger data which may continue for a significant period of time as there is no likelihood of concessionary passenger numbers increasing to the level they were before the pandemic.  Despite this the concessionary travel budget underspent in 2019/20 so this</w:t>
      </w:r>
      <w:r>
        <w:rPr>
          <w:rFonts w:cs="Arial"/>
        </w:rPr>
        <w:t xml:space="preserve"> has</w:t>
      </w:r>
      <w:r w:rsidRPr="00F2288E">
        <w:rPr>
          <w:rFonts w:cs="Arial"/>
        </w:rPr>
        <w:t xml:space="preserve"> recurred in 2020/21.</w:t>
      </w:r>
    </w:p>
    <w:p w14:paraId="61D1D041" w14:textId="77777777" w:rsidR="00D10794" w:rsidRDefault="00D10794" w:rsidP="00D10794">
      <w:pPr>
        <w:spacing w:after="0"/>
        <w:rPr>
          <w:rFonts w:cs="Arial"/>
          <w:b/>
          <w:highlight w:val="green"/>
        </w:rPr>
      </w:pPr>
    </w:p>
    <w:p w14:paraId="492F298D" w14:textId="77777777" w:rsidR="00D10794" w:rsidRPr="00F2288E" w:rsidRDefault="00D10794" w:rsidP="00D10794">
      <w:pPr>
        <w:spacing w:after="0"/>
        <w:rPr>
          <w:rFonts w:cs="Arial"/>
          <w:bCs/>
        </w:rPr>
      </w:pPr>
      <w:r w:rsidRPr="00F2288E">
        <w:rPr>
          <w:rFonts w:cs="Arial"/>
          <w:bCs/>
        </w:rPr>
        <w:t>In addition, a contribution to reserves has been made totalling £2.985m to fund future expenditure</w:t>
      </w:r>
      <w:r>
        <w:rPr>
          <w:rFonts w:cs="Arial"/>
          <w:bCs/>
        </w:rPr>
        <w:t xml:space="preserve"> at council buildings to</w:t>
      </w:r>
      <w:r w:rsidRPr="00F2288E">
        <w:rPr>
          <w:rFonts w:cs="Arial"/>
          <w:bCs/>
        </w:rPr>
        <w:t xml:space="preserve"> fund infrastructure for electric vehicles and the purchase of the vehicles. </w:t>
      </w:r>
    </w:p>
    <w:p w14:paraId="3159DB31" w14:textId="290CC9D4" w:rsidR="00D10794" w:rsidRDefault="00D10794" w:rsidP="00D10794">
      <w:pPr>
        <w:spacing w:after="0"/>
        <w:rPr>
          <w:rFonts w:cs="Arial"/>
          <w:b/>
          <w:highlight w:val="green"/>
        </w:rPr>
      </w:pPr>
    </w:p>
    <w:p w14:paraId="6AA79850" w14:textId="77777777" w:rsidR="00373443" w:rsidRPr="00BC70A2" w:rsidRDefault="00373443" w:rsidP="00D10794">
      <w:pPr>
        <w:spacing w:after="0"/>
        <w:rPr>
          <w:rFonts w:cs="Arial"/>
          <w:b/>
          <w:highlight w:val="green"/>
        </w:rPr>
      </w:pPr>
    </w:p>
    <w:p w14:paraId="5F3ABFE4" w14:textId="77777777" w:rsidR="00D10794" w:rsidRPr="00F2288E" w:rsidRDefault="00D10794" w:rsidP="00D10794">
      <w:pPr>
        <w:spacing w:after="0"/>
        <w:rPr>
          <w:rFonts w:cs="Arial"/>
          <w:b/>
        </w:rPr>
      </w:pPr>
      <w:r w:rsidRPr="00F2288E">
        <w:rPr>
          <w:rFonts w:cs="Arial"/>
          <w:b/>
        </w:rPr>
        <w:lastRenderedPageBreak/>
        <w:t>Customer Access – overspend £706,000</w:t>
      </w:r>
    </w:p>
    <w:p w14:paraId="6BE0668A" w14:textId="77777777" w:rsidR="00D10794" w:rsidRPr="00F2288E" w:rsidRDefault="00D10794" w:rsidP="00D10794">
      <w:pPr>
        <w:spacing w:after="0"/>
        <w:rPr>
          <w:rFonts w:cs="Arial"/>
        </w:rPr>
      </w:pPr>
      <w:r w:rsidRPr="00F2288E">
        <w:rPr>
          <w:rFonts w:cs="Arial"/>
        </w:rPr>
        <w:t xml:space="preserve">The overspend predominantly relates to staffing costs partly due to delays in delivering budgeted savings but also due to additional staffing costs incurred </w:t>
      </w:r>
      <w:proofErr w:type="gramStart"/>
      <w:r w:rsidRPr="00F2288E">
        <w:rPr>
          <w:rFonts w:cs="Arial"/>
        </w:rPr>
        <w:t>as a result of</w:t>
      </w:r>
      <w:proofErr w:type="gramEnd"/>
      <w:r w:rsidRPr="00F2288E">
        <w:rPr>
          <w:rFonts w:cs="Arial"/>
        </w:rPr>
        <w:t xml:space="preserve"> the county councils Covid-19 response</w:t>
      </w:r>
      <w:r>
        <w:rPr>
          <w:rFonts w:cs="Arial"/>
        </w:rPr>
        <w:t xml:space="preserve">, which has included supporting the NHS. </w:t>
      </w:r>
    </w:p>
    <w:p w14:paraId="1ACABEBC" w14:textId="77777777" w:rsidR="00D10794" w:rsidRPr="00BC70A2" w:rsidRDefault="00D10794" w:rsidP="00D10794">
      <w:pPr>
        <w:spacing w:after="0"/>
        <w:rPr>
          <w:rFonts w:cs="Arial"/>
          <w:highlight w:val="green"/>
        </w:rPr>
      </w:pPr>
    </w:p>
    <w:p w14:paraId="6F03FCD9" w14:textId="77777777" w:rsidR="00D10794" w:rsidRPr="00F2288E" w:rsidRDefault="00D10794" w:rsidP="00D10794">
      <w:pPr>
        <w:spacing w:after="0"/>
        <w:rPr>
          <w:rFonts w:cs="Arial"/>
          <w:b/>
        </w:rPr>
      </w:pPr>
      <w:r w:rsidRPr="00F2288E">
        <w:rPr>
          <w:rFonts w:cs="Arial"/>
          <w:b/>
        </w:rPr>
        <w:t>Design and Construction – overspend £1.735m</w:t>
      </w:r>
    </w:p>
    <w:p w14:paraId="070806C6" w14:textId="77777777" w:rsidR="00D10794" w:rsidRPr="00180CB6" w:rsidRDefault="00D10794" w:rsidP="00D10794">
      <w:pPr>
        <w:spacing w:after="0"/>
        <w:contextualSpacing/>
        <w:rPr>
          <w:rFonts w:cs="Arial"/>
        </w:rPr>
      </w:pPr>
      <w:r w:rsidRPr="00180CB6">
        <w:rPr>
          <w:rFonts w:cs="Arial"/>
        </w:rPr>
        <w:t>Design and Construction property overspen</w:t>
      </w:r>
      <w:r>
        <w:rPr>
          <w:rFonts w:cs="Arial"/>
        </w:rPr>
        <w:t>t</w:t>
      </w:r>
      <w:r w:rsidRPr="00180CB6">
        <w:rPr>
          <w:rFonts w:cs="Arial"/>
        </w:rPr>
        <w:t xml:space="preserve"> by £2.</w:t>
      </w:r>
      <w:r>
        <w:rPr>
          <w:rFonts w:cs="Arial"/>
        </w:rPr>
        <w:t>286</w:t>
      </w:r>
      <w:r w:rsidRPr="00180CB6">
        <w:rPr>
          <w:rFonts w:cs="Arial"/>
        </w:rPr>
        <w:t xml:space="preserve">m. Lower than </w:t>
      </w:r>
      <w:r>
        <w:rPr>
          <w:rFonts w:cs="Arial"/>
        </w:rPr>
        <w:t>budgeted</w:t>
      </w:r>
      <w:r w:rsidRPr="00180CB6">
        <w:rPr>
          <w:rFonts w:cs="Arial"/>
        </w:rPr>
        <w:t xml:space="preserve"> income recovery of £2.</w:t>
      </w:r>
      <w:r>
        <w:rPr>
          <w:rFonts w:cs="Arial"/>
        </w:rPr>
        <w:t>935</w:t>
      </w:r>
      <w:r w:rsidRPr="00180CB6">
        <w:rPr>
          <w:rFonts w:cs="Arial"/>
        </w:rPr>
        <w:t>m</w:t>
      </w:r>
      <w:r>
        <w:rPr>
          <w:rFonts w:cs="Arial"/>
        </w:rPr>
        <w:t xml:space="preserve"> was</w:t>
      </w:r>
      <w:r w:rsidRPr="00180CB6">
        <w:rPr>
          <w:rFonts w:cs="Arial"/>
        </w:rPr>
        <w:t xml:space="preserve"> partly due to the much-reduced number of projects delivered </w:t>
      </w:r>
      <w:proofErr w:type="gramStart"/>
      <w:r w:rsidRPr="00180CB6">
        <w:rPr>
          <w:rFonts w:cs="Arial"/>
        </w:rPr>
        <w:t>as a result of</w:t>
      </w:r>
      <w:proofErr w:type="gramEnd"/>
      <w:r w:rsidRPr="00180CB6">
        <w:rPr>
          <w:rFonts w:cs="Arial"/>
        </w:rPr>
        <w:t xml:space="preserve"> Covid-19</w:t>
      </w:r>
      <w:r>
        <w:rPr>
          <w:rFonts w:cs="Arial"/>
        </w:rPr>
        <w:t>. However, a recurrent budget pressure exists which has been addressed in the MTFS for 21/22</w:t>
      </w:r>
      <w:r w:rsidRPr="00180CB6">
        <w:rPr>
          <w:rFonts w:cs="Arial"/>
        </w:rPr>
        <w:t>. The</w:t>
      </w:r>
      <w:r>
        <w:rPr>
          <w:rFonts w:cs="Arial"/>
        </w:rPr>
        <w:t xml:space="preserve"> income reduction was</w:t>
      </w:r>
      <w:r w:rsidRPr="00180CB6">
        <w:rPr>
          <w:rFonts w:cs="Arial"/>
        </w:rPr>
        <w:t xml:space="preserve"> partly offset by underspends of £6</w:t>
      </w:r>
      <w:r>
        <w:rPr>
          <w:rFonts w:cs="Arial"/>
        </w:rPr>
        <w:t>49</w:t>
      </w:r>
      <w:r w:rsidRPr="00180CB6">
        <w:rPr>
          <w:rFonts w:cs="Arial"/>
        </w:rPr>
        <w:t xml:space="preserve">,000 on staffing and agency costs. </w:t>
      </w:r>
    </w:p>
    <w:p w14:paraId="59F889CF" w14:textId="77777777" w:rsidR="00D10794" w:rsidRPr="00180CB6" w:rsidRDefault="00D10794" w:rsidP="00D10794">
      <w:pPr>
        <w:spacing w:after="0"/>
        <w:contextualSpacing/>
        <w:rPr>
          <w:rFonts w:cs="Arial"/>
        </w:rPr>
      </w:pPr>
    </w:p>
    <w:p w14:paraId="2ECBA6A9" w14:textId="77777777" w:rsidR="00D10794" w:rsidRPr="00180CB6" w:rsidRDefault="00D10794" w:rsidP="00D10794">
      <w:pPr>
        <w:spacing w:after="0"/>
        <w:contextualSpacing/>
        <w:rPr>
          <w:rFonts w:cs="Arial"/>
        </w:rPr>
      </w:pPr>
      <w:r w:rsidRPr="00180CB6">
        <w:rPr>
          <w:rFonts w:cs="Arial"/>
        </w:rPr>
        <w:t>Design and Construction highways overspen</w:t>
      </w:r>
      <w:r>
        <w:rPr>
          <w:rFonts w:cs="Arial"/>
        </w:rPr>
        <w:t>t</w:t>
      </w:r>
      <w:r w:rsidRPr="00180CB6">
        <w:rPr>
          <w:rFonts w:cs="Arial"/>
        </w:rPr>
        <w:t xml:space="preserve"> by £</w:t>
      </w:r>
      <w:r>
        <w:rPr>
          <w:rFonts w:cs="Arial"/>
        </w:rPr>
        <w:t>75</w:t>
      </w:r>
      <w:r w:rsidRPr="00180CB6">
        <w:rPr>
          <w:rFonts w:cs="Arial"/>
        </w:rPr>
        <w:t xml:space="preserve">,000. There are currently several vacancies so whilst there </w:t>
      </w:r>
      <w:r>
        <w:rPr>
          <w:rFonts w:cs="Arial"/>
        </w:rPr>
        <w:t>was</w:t>
      </w:r>
      <w:r w:rsidRPr="00180CB6">
        <w:rPr>
          <w:rFonts w:cs="Arial"/>
        </w:rPr>
        <w:t xml:space="preserve"> a significant staffing underspend there </w:t>
      </w:r>
      <w:r>
        <w:rPr>
          <w:rFonts w:cs="Arial"/>
        </w:rPr>
        <w:t>was</w:t>
      </w:r>
      <w:r w:rsidRPr="00180CB6">
        <w:rPr>
          <w:rFonts w:cs="Arial"/>
        </w:rPr>
        <w:t xml:space="preserve"> a greater under recovery of income since this is an income generating service. As with D&amp;C property income levels for D&amp;C highways </w:t>
      </w:r>
      <w:r>
        <w:rPr>
          <w:rFonts w:cs="Arial"/>
        </w:rPr>
        <w:t>were</w:t>
      </w:r>
      <w:r w:rsidRPr="00180CB6">
        <w:rPr>
          <w:rFonts w:cs="Arial"/>
        </w:rPr>
        <w:t xml:space="preserve"> affected by Covid-19 although the impact </w:t>
      </w:r>
      <w:r>
        <w:rPr>
          <w:rFonts w:cs="Arial"/>
        </w:rPr>
        <w:t>was</w:t>
      </w:r>
      <w:r w:rsidRPr="00180CB6">
        <w:rPr>
          <w:rFonts w:cs="Arial"/>
        </w:rPr>
        <w:t xml:space="preserve"> less severe.</w:t>
      </w:r>
    </w:p>
    <w:p w14:paraId="55C580C7" w14:textId="77777777" w:rsidR="00D10794" w:rsidRPr="00180CB6" w:rsidRDefault="00D10794" w:rsidP="00D10794">
      <w:pPr>
        <w:spacing w:after="0"/>
        <w:contextualSpacing/>
        <w:rPr>
          <w:rFonts w:cs="Arial"/>
        </w:rPr>
      </w:pPr>
    </w:p>
    <w:p w14:paraId="14EA34E7" w14:textId="37046FE8" w:rsidR="00D10794" w:rsidRPr="00180CB6" w:rsidRDefault="00D10794" w:rsidP="00D10794">
      <w:pPr>
        <w:spacing w:after="0"/>
        <w:contextualSpacing/>
        <w:rPr>
          <w:rFonts w:cs="Arial"/>
        </w:rPr>
      </w:pPr>
      <w:r w:rsidRPr="00180CB6">
        <w:rPr>
          <w:rFonts w:cs="Arial"/>
        </w:rPr>
        <w:t xml:space="preserve">Partly offsetting these pressures </w:t>
      </w:r>
      <w:r>
        <w:rPr>
          <w:rFonts w:cs="Arial"/>
        </w:rPr>
        <w:t>was</w:t>
      </w:r>
      <w:r w:rsidRPr="00180CB6">
        <w:rPr>
          <w:rFonts w:cs="Arial"/>
        </w:rPr>
        <w:t xml:space="preserve"> £</w:t>
      </w:r>
      <w:r>
        <w:rPr>
          <w:rFonts w:cs="Arial"/>
        </w:rPr>
        <w:t>626</w:t>
      </w:r>
      <w:r w:rsidRPr="00180CB6">
        <w:rPr>
          <w:rFonts w:cs="Arial"/>
        </w:rPr>
        <w:t xml:space="preserve">,000 of income claimed as part of government scheme to refund authorities for </w:t>
      </w:r>
      <w:r w:rsidR="00373443">
        <w:rPr>
          <w:rFonts w:cs="Arial"/>
        </w:rPr>
        <w:t xml:space="preserve">a proportion of </w:t>
      </w:r>
      <w:r w:rsidRPr="00180CB6">
        <w:rPr>
          <w:rFonts w:cs="Arial"/>
        </w:rPr>
        <w:t>their income losses due to Covid-19.</w:t>
      </w:r>
    </w:p>
    <w:p w14:paraId="77FC36E4" w14:textId="77777777" w:rsidR="00D10794" w:rsidRPr="00BC70A2" w:rsidRDefault="00D10794" w:rsidP="00D10794">
      <w:pPr>
        <w:spacing w:after="0"/>
        <w:contextualSpacing/>
        <w:rPr>
          <w:rFonts w:cs="Arial"/>
          <w:highlight w:val="green"/>
        </w:rPr>
      </w:pPr>
    </w:p>
    <w:p w14:paraId="21D2B2C7" w14:textId="77777777" w:rsidR="00D10794" w:rsidRDefault="00D10794" w:rsidP="00D10794">
      <w:pPr>
        <w:spacing w:after="0"/>
        <w:rPr>
          <w:rFonts w:eastAsia="Times New Roman" w:cs="Arial"/>
          <w:b/>
          <w:highlight w:val="yellow"/>
          <w:lang w:eastAsia="en-GB"/>
        </w:rPr>
      </w:pPr>
    </w:p>
    <w:p w14:paraId="2B215024" w14:textId="77777777" w:rsidR="00D10794" w:rsidRDefault="00D10794" w:rsidP="00D10794">
      <w:pPr>
        <w:spacing w:after="0"/>
        <w:rPr>
          <w:rFonts w:eastAsia="Times New Roman" w:cs="Arial"/>
          <w:b/>
          <w:highlight w:val="yellow"/>
          <w:lang w:eastAsia="en-GB"/>
        </w:rPr>
      </w:pPr>
    </w:p>
    <w:p w14:paraId="380C325F" w14:textId="77777777" w:rsidR="00D10794" w:rsidRDefault="00D10794" w:rsidP="00D10794">
      <w:pPr>
        <w:spacing w:after="0"/>
        <w:rPr>
          <w:rFonts w:eastAsia="Times New Roman" w:cs="Arial"/>
          <w:b/>
          <w:highlight w:val="yellow"/>
          <w:lang w:eastAsia="en-GB"/>
        </w:rPr>
      </w:pPr>
    </w:p>
    <w:p w14:paraId="46F53051" w14:textId="77777777" w:rsidR="00D10794" w:rsidRDefault="00D10794" w:rsidP="00D10794">
      <w:pPr>
        <w:spacing w:after="0"/>
        <w:rPr>
          <w:rFonts w:eastAsia="Times New Roman" w:cs="Arial"/>
          <w:b/>
          <w:highlight w:val="yellow"/>
          <w:lang w:eastAsia="en-GB"/>
        </w:rPr>
      </w:pPr>
    </w:p>
    <w:p w14:paraId="474B6A0B" w14:textId="77777777" w:rsidR="00D10794" w:rsidRDefault="00D10794" w:rsidP="00D10794">
      <w:pPr>
        <w:spacing w:after="0"/>
        <w:rPr>
          <w:rFonts w:eastAsia="Times New Roman" w:cs="Arial"/>
          <w:b/>
          <w:highlight w:val="yellow"/>
          <w:lang w:eastAsia="en-GB"/>
        </w:rPr>
      </w:pPr>
    </w:p>
    <w:p w14:paraId="333000F0" w14:textId="77777777" w:rsidR="00D10794" w:rsidRDefault="00D10794" w:rsidP="00D10794">
      <w:pPr>
        <w:spacing w:after="0"/>
        <w:rPr>
          <w:rFonts w:eastAsia="Times New Roman" w:cs="Arial"/>
          <w:b/>
          <w:highlight w:val="yellow"/>
          <w:lang w:eastAsia="en-GB"/>
        </w:rPr>
      </w:pPr>
    </w:p>
    <w:p w14:paraId="53A0C1F7" w14:textId="77777777" w:rsidR="00D10794" w:rsidRDefault="00D10794" w:rsidP="00D10794">
      <w:pPr>
        <w:spacing w:after="0"/>
        <w:rPr>
          <w:rFonts w:eastAsia="Times New Roman" w:cs="Arial"/>
          <w:b/>
          <w:highlight w:val="yellow"/>
          <w:lang w:eastAsia="en-GB"/>
        </w:rPr>
      </w:pPr>
    </w:p>
    <w:p w14:paraId="593E0535" w14:textId="77777777" w:rsidR="00D10794" w:rsidRDefault="00D10794" w:rsidP="00D10794">
      <w:pPr>
        <w:spacing w:after="0"/>
        <w:rPr>
          <w:rFonts w:eastAsia="Times New Roman" w:cs="Arial"/>
          <w:b/>
          <w:highlight w:val="yellow"/>
          <w:lang w:eastAsia="en-GB"/>
        </w:rPr>
      </w:pPr>
    </w:p>
    <w:p w14:paraId="3B5AB259" w14:textId="77777777" w:rsidR="00D10794" w:rsidRDefault="00D10794" w:rsidP="00D10794">
      <w:pPr>
        <w:spacing w:after="0"/>
        <w:rPr>
          <w:rFonts w:eastAsia="Times New Roman" w:cs="Arial"/>
          <w:b/>
          <w:highlight w:val="yellow"/>
          <w:lang w:eastAsia="en-GB"/>
        </w:rPr>
      </w:pPr>
    </w:p>
    <w:p w14:paraId="2178CFFC" w14:textId="77777777" w:rsidR="00D10794" w:rsidRDefault="00D10794" w:rsidP="00D10794">
      <w:pPr>
        <w:spacing w:after="0"/>
        <w:rPr>
          <w:rFonts w:eastAsia="Times New Roman" w:cs="Arial"/>
          <w:b/>
          <w:highlight w:val="yellow"/>
          <w:lang w:eastAsia="en-GB"/>
        </w:rPr>
      </w:pPr>
    </w:p>
    <w:p w14:paraId="32CFAD3F" w14:textId="77777777" w:rsidR="00D10794" w:rsidRDefault="00D10794" w:rsidP="00D10794">
      <w:pPr>
        <w:spacing w:after="0"/>
        <w:rPr>
          <w:rFonts w:eastAsia="Times New Roman" w:cs="Arial"/>
          <w:b/>
          <w:highlight w:val="yellow"/>
          <w:lang w:eastAsia="en-GB"/>
        </w:rPr>
      </w:pPr>
    </w:p>
    <w:p w14:paraId="6436144A" w14:textId="77777777" w:rsidR="00D10794" w:rsidRDefault="00D10794" w:rsidP="00D10794">
      <w:pPr>
        <w:spacing w:after="0"/>
        <w:rPr>
          <w:rFonts w:eastAsia="Times New Roman" w:cs="Arial"/>
          <w:b/>
          <w:highlight w:val="yellow"/>
          <w:lang w:eastAsia="en-GB"/>
        </w:rPr>
      </w:pPr>
    </w:p>
    <w:p w14:paraId="09B542E3" w14:textId="77777777" w:rsidR="00D10794" w:rsidRDefault="00D10794" w:rsidP="00D10794">
      <w:pPr>
        <w:spacing w:after="0"/>
        <w:rPr>
          <w:rFonts w:eastAsia="Times New Roman" w:cs="Arial"/>
          <w:b/>
          <w:highlight w:val="yellow"/>
          <w:lang w:eastAsia="en-GB"/>
        </w:rPr>
      </w:pPr>
    </w:p>
    <w:p w14:paraId="09D3B671" w14:textId="77777777" w:rsidR="00D10794" w:rsidRDefault="00D10794" w:rsidP="00D10794">
      <w:pPr>
        <w:spacing w:after="0"/>
        <w:rPr>
          <w:rFonts w:eastAsia="Times New Roman" w:cs="Arial"/>
          <w:b/>
          <w:highlight w:val="yellow"/>
          <w:lang w:eastAsia="en-GB"/>
        </w:rPr>
      </w:pPr>
    </w:p>
    <w:p w14:paraId="1A0AB477" w14:textId="77777777" w:rsidR="00D10794" w:rsidRDefault="00D10794" w:rsidP="00D10794">
      <w:pPr>
        <w:spacing w:after="0"/>
        <w:rPr>
          <w:rFonts w:eastAsia="Times New Roman" w:cs="Arial"/>
          <w:b/>
          <w:highlight w:val="yellow"/>
          <w:lang w:eastAsia="en-GB"/>
        </w:rPr>
      </w:pPr>
    </w:p>
    <w:p w14:paraId="27BA018A" w14:textId="77777777" w:rsidR="00D10794" w:rsidRDefault="00D10794" w:rsidP="00D10794">
      <w:pPr>
        <w:spacing w:after="0"/>
        <w:rPr>
          <w:rFonts w:eastAsia="Times New Roman" w:cs="Arial"/>
          <w:b/>
          <w:highlight w:val="yellow"/>
          <w:lang w:eastAsia="en-GB"/>
        </w:rPr>
      </w:pPr>
    </w:p>
    <w:p w14:paraId="25D9C97A" w14:textId="77777777" w:rsidR="00D10794" w:rsidRDefault="00D10794" w:rsidP="00D10794">
      <w:pPr>
        <w:spacing w:after="0"/>
        <w:rPr>
          <w:rFonts w:eastAsia="Times New Roman" w:cs="Arial"/>
          <w:b/>
          <w:highlight w:val="yellow"/>
          <w:lang w:eastAsia="en-GB"/>
        </w:rPr>
      </w:pPr>
    </w:p>
    <w:p w14:paraId="2F130598" w14:textId="77777777" w:rsidR="00D10794" w:rsidRDefault="00D10794" w:rsidP="00D10794">
      <w:pPr>
        <w:spacing w:after="0"/>
        <w:rPr>
          <w:rFonts w:eastAsia="Times New Roman" w:cs="Arial"/>
          <w:b/>
          <w:highlight w:val="yellow"/>
          <w:lang w:eastAsia="en-GB"/>
        </w:rPr>
      </w:pPr>
    </w:p>
    <w:p w14:paraId="07CA5B82" w14:textId="77777777" w:rsidR="00D10794" w:rsidRDefault="00D10794" w:rsidP="00D10794">
      <w:pPr>
        <w:spacing w:after="0"/>
        <w:rPr>
          <w:rFonts w:eastAsia="Times New Roman" w:cs="Arial"/>
          <w:b/>
          <w:highlight w:val="yellow"/>
          <w:lang w:eastAsia="en-GB"/>
        </w:rPr>
      </w:pPr>
    </w:p>
    <w:p w14:paraId="7925420C" w14:textId="77777777" w:rsidR="00D10794" w:rsidRDefault="00D10794" w:rsidP="00D10794">
      <w:pPr>
        <w:spacing w:after="0"/>
        <w:rPr>
          <w:rFonts w:eastAsia="Times New Roman" w:cs="Arial"/>
          <w:b/>
          <w:highlight w:val="yellow"/>
          <w:lang w:eastAsia="en-GB"/>
        </w:rPr>
      </w:pPr>
    </w:p>
    <w:p w14:paraId="2563AC90" w14:textId="77777777" w:rsidR="00D10794" w:rsidRDefault="00D10794" w:rsidP="00D10794">
      <w:pPr>
        <w:spacing w:after="0"/>
        <w:rPr>
          <w:rFonts w:eastAsia="Times New Roman" w:cs="Arial"/>
          <w:b/>
          <w:highlight w:val="yellow"/>
          <w:lang w:eastAsia="en-GB"/>
        </w:rPr>
      </w:pPr>
    </w:p>
    <w:p w14:paraId="7BDFE0DB" w14:textId="77777777" w:rsidR="00D10794" w:rsidRDefault="00D10794" w:rsidP="00D10794">
      <w:pPr>
        <w:spacing w:after="0"/>
        <w:rPr>
          <w:rFonts w:eastAsia="Times New Roman" w:cs="Arial"/>
          <w:b/>
          <w:highlight w:val="yellow"/>
          <w:lang w:eastAsia="en-GB"/>
        </w:rPr>
      </w:pPr>
    </w:p>
    <w:p w14:paraId="56C23BE0" w14:textId="77777777" w:rsidR="00D10794" w:rsidRDefault="00D10794" w:rsidP="00D10794">
      <w:pPr>
        <w:spacing w:after="0"/>
        <w:rPr>
          <w:rFonts w:eastAsia="Times New Roman" w:cs="Arial"/>
          <w:b/>
          <w:highlight w:val="yellow"/>
          <w:lang w:eastAsia="en-GB"/>
        </w:rPr>
      </w:pPr>
    </w:p>
    <w:p w14:paraId="747FE633" w14:textId="77777777" w:rsidR="00D10794" w:rsidRDefault="00D10794" w:rsidP="00D10794">
      <w:pPr>
        <w:spacing w:after="0"/>
        <w:rPr>
          <w:rFonts w:eastAsia="Times New Roman" w:cs="Arial"/>
          <w:b/>
          <w:highlight w:val="yellow"/>
          <w:lang w:eastAsia="en-GB"/>
        </w:rPr>
      </w:pPr>
    </w:p>
    <w:p w14:paraId="69AF2CF5" w14:textId="77777777" w:rsidR="00D10794" w:rsidRDefault="00D10794" w:rsidP="00D10794">
      <w:pPr>
        <w:spacing w:after="0"/>
        <w:rPr>
          <w:rFonts w:eastAsia="Times New Roman" w:cs="Arial"/>
          <w:b/>
          <w:highlight w:val="yellow"/>
          <w:lang w:eastAsia="en-GB"/>
        </w:rPr>
      </w:pPr>
    </w:p>
    <w:p w14:paraId="005CABB8" w14:textId="4045EAFA" w:rsidR="00D10794" w:rsidRDefault="00D10794" w:rsidP="00D10794">
      <w:pPr>
        <w:spacing w:after="0"/>
        <w:rPr>
          <w:rFonts w:eastAsia="Times New Roman" w:cs="Arial"/>
          <w:b/>
          <w:highlight w:val="yellow"/>
          <w:lang w:eastAsia="en-GB"/>
        </w:rPr>
      </w:pPr>
    </w:p>
    <w:p w14:paraId="55544E8A" w14:textId="1E55D62F" w:rsidR="00373443" w:rsidRDefault="00373443" w:rsidP="00D10794">
      <w:pPr>
        <w:spacing w:after="0"/>
        <w:rPr>
          <w:rFonts w:eastAsia="Times New Roman" w:cs="Arial"/>
          <w:b/>
          <w:highlight w:val="yellow"/>
          <w:lang w:eastAsia="en-GB"/>
        </w:rPr>
      </w:pPr>
    </w:p>
    <w:p w14:paraId="5E067894" w14:textId="394CA5C0" w:rsidR="00373443" w:rsidRDefault="00373443" w:rsidP="00D10794">
      <w:pPr>
        <w:spacing w:after="0"/>
        <w:rPr>
          <w:rFonts w:eastAsia="Times New Roman" w:cs="Arial"/>
          <w:b/>
          <w:highlight w:val="yellow"/>
          <w:lang w:eastAsia="en-GB"/>
        </w:rPr>
      </w:pPr>
    </w:p>
    <w:p w14:paraId="4C7F8460" w14:textId="5306379B" w:rsidR="00373443" w:rsidRDefault="00373443" w:rsidP="00D10794">
      <w:pPr>
        <w:spacing w:after="0"/>
        <w:rPr>
          <w:rFonts w:eastAsia="Times New Roman" w:cs="Arial"/>
          <w:b/>
          <w:highlight w:val="yellow"/>
          <w:lang w:eastAsia="en-GB"/>
        </w:rPr>
      </w:pPr>
    </w:p>
    <w:p w14:paraId="30902241" w14:textId="77777777" w:rsidR="00373443" w:rsidRDefault="00373443" w:rsidP="00D10794">
      <w:pPr>
        <w:spacing w:after="0"/>
        <w:rPr>
          <w:rFonts w:eastAsia="Times New Roman" w:cs="Arial"/>
          <w:b/>
          <w:highlight w:val="yellow"/>
          <w:lang w:eastAsia="en-GB"/>
        </w:rPr>
      </w:pPr>
    </w:p>
    <w:p w14:paraId="7E3456DB" w14:textId="77777777" w:rsidR="00D10794" w:rsidRDefault="00D10794" w:rsidP="00D10794">
      <w:pPr>
        <w:spacing w:after="0"/>
        <w:rPr>
          <w:rFonts w:eastAsia="Times New Roman" w:cs="Arial"/>
          <w:b/>
          <w:lang w:eastAsia="en-GB"/>
        </w:rPr>
      </w:pPr>
      <w:r w:rsidRPr="00B90474">
        <w:rPr>
          <w:rFonts w:eastAsia="Times New Roman" w:cs="Arial"/>
          <w:b/>
          <w:lang w:eastAsia="en-GB"/>
        </w:rPr>
        <w:lastRenderedPageBreak/>
        <w:t>3.7 Organisational Development and Change</w:t>
      </w:r>
    </w:p>
    <w:p w14:paraId="38F5056C" w14:textId="77777777" w:rsidR="00D10794" w:rsidRDefault="00D10794" w:rsidP="00D10794">
      <w:pPr>
        <w:spacing w:after="0"/>
        <w:rPr>
          <w:rFonts w:eastAsia="Times New Roman" w:cs="Arial"/>
          <w:b/>
          <w:lang w:eastAsia="en-GB"/>
        </w:rPr>
      </w:pPr>
    </w:p>
    <w:tbl>
      <w:tblPr>
        <w:tblW w:w="8763" w:type="dxa"/>
        <w:tblLook w:val="04A0" w:firstRow="1" w:lastRow="0" w:firstColumn="1" w:lastColumn="0" w:noHBand="0" w:noVBand="1"/>
      </w:tblPr>
      <w:tblGrid>
        <w:gridCol w:w="3421"/>
        <w:gridCol w:w="1150"/>
        <w:gridCol w:w="1037"/>
        <w:gridCol w:w="1055"/>
        <w:gridCol w:w="1050"/>
        <w:gridCol w:w="1050"/>
      </w:tblGrid>
      <w:tr w:rsidR="002F12B1" w14:paraId="16994BD4" w14:textId="77777777" w:rsidTr="00D10794">
        <w:trPr>
          <w:trHeight w:val="796"/>
        </w:trPr>
        <w:tc>
          <w:tcPr>
            <w:tcW w:w="3822" w:type="dxa"/>
            <w:tcBorders>
              <w:top w:val="single" w:sz="4" w:space="0" w:color="auto"/>
              <w:left w:val="single" w:sz="4" w:space="0" w:color="auto"/>
              <w:bottom w:val="nil"/>
              <w:right w:val="single" w:sz="4" w:space="0" w:color="auto"/>
            </w:tcBorders>
            <w:shd w:val="clear" w:color="000000" w:fill="D9D9D9"/>
            <w:vAlign w:val="center"/>
            <w:hideMark/>
          </w:tcPr>
          <w:p w14:paraId="2ADDDDD2" w14:textId="247EF580" w:rsidR="00D10794" w:rsidRPr="00B90474" w:rsidRDefault="00D10794" w:rsidP="00D10794">
            <w:pPr>
              <w:autoSpaceDE/>
              <w:autoSpaceDN/>
              <w:adjustRightInd/>
              <w:spacing w:after="0"/>
              <w:jc w:val="left"/>
              <w:rPr>
                <w:rFonts w:eastAsia="Times New Roman" w:cs="Arial"/>
                <w:b/>
                <w:bCs/>
                <w:sz w:val="20"/>
                <w:szCs w:val="20"/>
                <w:lang w:eastAsia="en-GB"/>
              </w:rPr>
            </w:pP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14:paraId="1C93961C"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14:paraId="64F27B53"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14:paraId="4572001C"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26" w:type="dxa"/>
            <w:tcBorders>
              <w:top w:val="single" w:sz="4" w:space="0" w:color="auto"/>
              <w:left w:val="nil"/>
              <w:bottom w:val="single" w:sz="4" w:space="0" w:color="auto"/>
              <w:right w:val="single" w:sz="4" w:space="0" w:color="auto"/>
            </w:tcBorders>
            <w:shd w:val="clear" w:color="000000" w:fill="D9D9D9"/>
            <w:vAlign w:val="center"/>
            <w:hideMark/>
          </w:tcPr>
          <w:p w14:paraId="417B0DA9"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47" w:type="dxa"/>
            <w:tcBorders>
              <w:top w:val="single" w:sz="4" w:space="0" w:color="auto"/>
              <w:left w:val="nil"/>
              <w:bottom w:val="single" w:sz="4" w:space="0" w:color="auto"/>
              <w:right w:val="single" w:sz="4" w:space="0" w:color="auto"/>
            </w:tcBorders>
            <w:shd w:val="clear" w:color="000000" w:fill="D9D9D9"/>
            <w:vAlign w:val="center"/>
            <w:hideMark/>
          </w:tcPr>
          <w:p w14:paraId="28C7DDEB"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6ADFF67D" w14:textId="77777777" w:rsidTr="00D10794">
        <w:trPr>
          <w:trHeight w:val="312"/>
        </w:trPr>
        <w:tc>
          <w:tcPr>
            <w:tcW w:w="3822" w:type="dxa"/>
            <w:tcBorders>
              <w:top w:val="nil"/>
              <w:left w:val="single" w:sz="4" w:space="0" w:color="auto"/>
              <w:bottom w:val="single" w:sz="4" w:space="0" w:color="auto"/>
              <w:right w:val="single" w:sz="4" w:space="0" w:color="auto"/>
            </w:tcBorders>
            <w:shd w:val="clear" w:color="000000" w:fill="D9D9D9"/>
            <w:vAlign w:val="center"/>
            <w:hideMark/>
          </w:tcPr>
          <w:p w14:paraId="11FEB41F"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 </w:t>
            </w:r>
          </w:p>
        </w:tc>
        <w:tc>
          <w:tcPr>
            <w:tcW w:w="1056" w:type="dxa"/>
            <w:tcBorders>
              <w:top w:val="nil"/>
              <w:left w:val="nil"/>
              <w:bottom w:val="single" w:sz="4" w:space="0" w:color="auto"/>
              <w:right w:val="single" w:sz="4" w:space="0" w:color="auto"/>
            </w:tcBorders>
            <w:shd w:val="clear" w:color="000000" w:fill="D9D9D9"/>
            <w:vAlign w:val="center"/>
            <w:hideMark/>
          </w:tcPr>
          <w:p w14:paraId="7350D443"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56" w:type="dxa"/>
            <w:tcBorders>
              <w:top w:val="nil"/>
              <w:left w:val="nil"/>
              <w:bottom w:val="single" w:sz="4" w:space="0" w:color="auto"/>
              <w:right w:val="single" w:sz="4" w:space="0" w:color="auto"/>
            </w:tcBorders>
            <w:shd w:val="clear" w:color="000000" w:fill="D9D9D9"/>
            <w:vAlign w:val="center"/>
            <w:hideMark/>
          </w:tcPr>
          <w:p w14:paraId="7EEC07B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56" w:type="dxa"/>
            <w:tcBorders>
              <w:top w:val="nil"/>
              <w:left w:val="nil"/>
              <w:bottom w:val="single" w:sz="4" w:space="0" w:color="auto"/>
              <w:right w:val="single" w:sz="4" w:space="0" w:color="auto"/>
            </w:tcBorders>
            <w:shd w:val="clear" w:color="000000" w:fill="D9D9D9"/>
            <w:vAlign w:val="center"/>
            <w:hideMark/>
          </w:tcPr>
          <w:p w14:paraId="3FF127F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26" w:type="dxa"/>
            <w:tcBorders>
              <w:top w:val="nil"/>
              <w:left w:val="nil"/>
              <w:bottom w:val="single" w:sz="4" w:space="0" w:color="auto"/>
              <w:right w:val="single" w:sz="4" w:space="0" w:color="auto"/>
            </w:tcBorders>
            <w:shd w:val="clear" w:color="000000" w:fill="D9D9D9"/>
            <w:vAlign w:val="center"/>
            <w:hideMark/>
          </w:tcPr>
          <w:p w14:paraId="2195F30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47" w:type="dxa"/>
            <w:tcBorders>
              <w:top w:val="nil"/>
              <w:left w:val="nil"/>
              <w:bottom w:val="single" w:sz="4" w:space="0" w:color="auto"/>
              <w:right w:val="single" w:sz="4" w:space="0" w:color="auto"/>
            </w:tcBorders>
            <w:shd w:val="clear" w:color="000000" w:fill="D9D9D9"/>
            <w:vAlign w:val="center"/>
            <w:hideMark/>
          </w:tcPr>
          <w:p w14:paraId="109979BD"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421C5373" w14:textId="77777777" w:rsidTr="00D10794">
        <w:trPr>
          <w:trHeight w:val="312"/>
        </w:trPr>
        <w:tc>
          <w:tcPr>
            <w:tcW w:w="3822" w:type="dxa"/>
            <w:tcBorders>
              <w:top w:val="nil"/>
              <w:left w:val="single" w:sz="4" w:space="0" w:color="auto"/>
              <w:bottom w:val="single" w:sz="4" w:space="0" w:color="auto"/>
              <w:right w:val="single" w:sz="4" w:space="0" w:color="auto"/>
            </w:tcBorders>
            <w:shd w:val="clear" w:color="000000" w:fill="D9D9D9"/>
            <w:vAlign w:val="center"/>
            <w:hideMark/>
          </w:tcPr>
          <w:p w14:paraId="2D000768"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Programme Office</w:t>
            </w:r>
          </w:p>
        </w:tc>
        <w:tc>
          <w:tcPr>
            <w:tcW w:w="1056" w:type="dxa"/>
            <w:tcBorders>
              <w:top w:val="nil"/>
              <w:left w:val="nil"/>
              <w:bottom w:val="single" w:sz="4" w:space="0" w:color="auto"/>
              <w:right w:val="single" w:sz="4" w:space="0" w:color="auto"/>
            </w:tcBorders>
            <w:shd w:val="clear" w:color="auto" w:fill="auto"/>
            <w:vAlign w:val="center"/>
            <w:hideMark/>
          </w:tcPr>
          <w:p w14:paraId="7528ED2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1.431</w:t>
            </w:r>
          </w:p>
        </w:tc>
        <w:tc>
          <w:tcPr>
            <w:tcW w:w="1056" w:type="dxa"/>
            <w:tcBorders>
              <w:top w:val="nil"/>
              <w:left w:val="nil"/>
              <w:bottom w:val="single" w:sz="4" w:space="0" w:color="auto"/>
              <w:right w:val="single" w:sz="4" w:space="0" w:color="auto"/>
            </w:tcBorders>
            <w:shd w:val="clear" w:color="auto" w:fill="auto"/>
            <w:vAlign w:val="center"/>
            <w:hideMark/>
          </w:tcPr>
          <w:p w14:paraId="3E1E0EB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1.325</w:t>
            </w:r>
          </w:p>
        </w:tc>
        <w:tc>
          <w:tcPr>
            <w:tcW w:w="1056" w:type="dxa"/>
            <w:tcBorders>
              <w:top w:val="nil"/>
              <w:left w:val="nil"/>
              <w:bottom w:val="single" w:sz="4" w:space="0" w:color="auto"/>
              <w:right w:val="single" w:sz="4" w:space="0" w:color="auto"/>
            </w:tcBorders>
            <w:shd w:val="clear" w:color="000000" w:fill="D9D9D9"/>
            <w:vAlign w:val="center"/>
            <w:hideMark/>
          </w:tcPr>
          <w:p w14:paraId="2227428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-0.106</w:t>
            </w:r>
          </w:p>
        </w:tc>
        <w:tc>
          <w:tcPr>
            <w:tcW w:w="926" w:type="dxa"/>
            <w:tcBorders>
              <w:top w:val="nil"/>
              <w:left w:val="nil"/>
              <w:bottom w:val="single" w:sz="4" w:space="0" w:color="auto"/>
              <w:right w:val="single" w:sz="4" w:space="0" w:color="auto"/>
            </w:tcBorders>
            <w:shd w:val="clear" w:color="auto" w:fill="auto"/>
            <w:vAlign w:val="center"/>
            <w:hideMark/>
          </w:tcPr>
          <w:p w14:paraId="5730B3F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-7.41%</w:t>
            </w:r>
          </w:p>
        </w:tc>
        <w:tc>
          <w:tcPr>
            <w:tcW w:w="847" w:type="dxa"/>
            <w:tcBorders>
              <w:top w:val="nil"/>
              <w:left w:val="nil"/>
              <w:bottom w:val="single" w:sz="4" w:space="0" w:color="auto"/>
              <w:right w:val="single" w:sz="4" w:space="0" w:color="auto"/>
            </w:tcBorders>
            <w:shd w:val="clear" w:color="000000" w:fill="D9D9D9"/>
            <w:vAlign w:val="center"/>
            <w:hideMark/>
          </w:tcPr>
          <w:p w14:paraId="027448D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-0.084</w:t>
            </w:r>
          </w:p>
        </w:tc>
      </w:tr>
      <w:tr w:rsidR="002F12B1" w14:paraId="3E05EA65" w14:textId="77777777" w:rsidTr="00D10794">
        <w:trPr>
          <w:trHeight w:val="312"/>
        </w:trPr>
        <w:tc>
          <w:tcPr>
            <w:tcW w:w="3822" w:type="dxa"/>
            <w:tcBorders>
              <w:top w:val="nil"/>
              <w:left w:val="single" w:sz="4" w:space="0" w:color="auto"/>
              <w:bottom w:val="single" w:sz="4" w:space="0" w:color="auto"/>
              <w:right w:val="single" w:sz="4" w:space="0" w:color="auto"/>
            </w:tcBorders>
            <w:shd w:val="clear" w:color="000000" w:fill="D9D9D9"/>
            <w:vAlign w:val="center"/>
            <w:hideMark/>
          </w:tcPr>
          <w:p w14:paraId="53BA44B6"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Organisational Development</w:t>
            </w:r>
          </w:p>
        </w:tc>
        <w:tc>
          <w:tcPr>
            <w:tcW w:w="1056" w:type="dxa"/>
            <w:tcBorders>
              <w:top w:val="nil"/>
              <w:left w:val="nil"/>
              <w:bottom w:val="single" w:sz="4" w:space="0" w:color="auto"/>
              <w:right w:val="single" w:sz="4" w:space="0" w:color="auto"/>
            </w:tcBorders>
            <w:shd w:val="clear" w:color="auto" w:fill="auto"/>
            <w:vAlign w:val="center"/>
            <w:hideMark/>
          </w:tcPr>
          <w:p w14:paraId="2BEAD41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0.801</w:t>
            </w:r>
          </w:p>
        </w:tc>
        <w:tc>
          <w:tcPr>
            <w:tcW w:w="1056" w:type="dxa"/>
            <w:tcBorders>
              <w:top w:val="nil"/>
              <w:left w:val="nil"/>
              <w:bottom w:val="single" w:sz="4" w:space="0" w:color="auto"/>
              <w:right w:val="single" w:sz="4" w:space="0" w:color="auto"/>
            </w:tcBorders>
            <w:shd w:val="clear" w:color="auto" w:fill="auto"/>
            <w:vAlign w:val="center"/>
            <w:hideMark/>
          </w:tcPr>
          <w:p w14:paraId="6AD7EF6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1.094</w:t>
            </w:r>
          </w:p>
        </w:tc>
        <w:tc>
          <w:tcPr>
            <w:tcW w:w="1056" w:type="dxa"/>
            <w:tcBorders>
              <w:top w:val="nil"/>
              <w:left w:val="nil"/>
              <w:bottom w:val="single" w:sz="4" w:space="0" w:color="auto"/>
              <w:right w:val="single" w:sz="4" w:space="0" w:color="auto"/>
            </w:tcBorders>
            <w:shd w:val="clear" w:color="000000" w:fill="D9D9D9"/>
            <w:vAlign w:val="center"/>
            <w:hideMark/>
          </w:tcPr>
          <w:p w14:paraId="7908AD0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0.293</w:t>
            </w:r>
          </w:p>
        </w:tc>
        <w:tc>
          <w:tcPr>
            <w:tcW w:w="926" w:type="dxa"/>
            <w:tcBorders>
              <w:top w:val="nil"/>
              <w:left w:val="nil"/>
              <w:bottom w:val="single" w:sz="4" w:space="0" w:color="auto"/>
              <w:right w:val="single" w:sz="4" w:space="0" w:color="auto"/>
            </w:tcBorders>
            <w:shd w:val="clear" w:color="auto" w:fill="auto"/>
            <w:vAlign w:val="center"/>
            <w:hideMark/>
          </w:tcPr>
          <w:p w14:paraId="5CE267D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36.58%</w:t>
            </w:r>
          </w:p>
        </w:tc>
        <w:tc>
          <w:tcPr>
            <w:tcW w:w="847" w:type="dxa"/>
            <w:tcBorders>
              <w:top w:val="nil"/>
              <w:left w:val="nil"/>
              <w:bottom w:val="single" w:sz="4" w:space="0" w:color="auto"/>
              <w:right w:val="single" w:sz="4" w:space="0" w:color="auto"/>
            </w:tcBorders>
            <w:shd w:val="clear" w:color="000000" w:fill="D9D9D9"/>
            <w:vAlign w:val="center"/>
            <w:hideMark/>
          </w:tcPr>
          <w:p w14:paraId="74B77B6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r>
      <w:tr w:rsidR="002F12B1" w14:paraId="32DF725B" w14:textId="77777777" w:rsidTr="00D10794">
        <w:trPr>
          <w:trHeight w:val="312"/>
        </w:trPr>
        <w:tc>
          <w:tcPr>
            <w:tcW w:w="3822" w:type="dxa"/>
            <w:tcBorders>
              <w:top w:val="nil"/>
              <w:left w:val="single" w:sz="4" w:space="0" w:color="auto"/>
              <w:bottom w:val="single" w:sz="4" w:space="0" w:color="auto"/>
              <w:right w:val="single" w:sz="4" w:space="0" w:color="auto"/>
            </w:tcBorders>
            <w:shd w:val="clear" w:color="000000" w:fill="D9D9D9"/>
            <w:vAlign w:val="center"/>
            <w:hideMark/>
          </w:tcPr>
          <w:p w14:paraId="03FE05B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56" w:type="dxa"/>
            <w:tcBorders>
              <w:top w:val="nil"/>
              <w:left w:val="nil"/>
              <w:bottom w:val="single" w:sz="4" w:space="0" w:color="auto"/>
              <w:right w:val="single" w:sz="4" w:space="0" w:color="auto"/>
            </w:tcBorders>
            <w:shd w:val="clear" w:color="000000" w:fill="D9D9D9"/>
            <w:vAlign w:val="center"/>
            <w:hideMark/>
          </w:tcPr>
          <w:p w14:paraId="432E6CAA"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2.232</w:t>
            </w:r>
          </w:p>
        </w:tc>
        <w:tc>
          <w:tcPr>
            <w:tcW w:w="1056" w:type="dxa"/>
            <w:tcBorders>
              <w:top w:val="nil"/>
              <w:left w:val="nil"/>
              <w:bottom w:val="single" w:sz="4" w:space="0" w:color="auto"/>
              <w:right w:val="single" w:sz="4" w:space="0" w:color="auto"/>
            </w:tcBorders>
            <w:shd w:val="clear" w:color="000000" w:fill="D9D9D9"/>
            <w:vAlign w:val="center"/>
            <w:hideMark/>
          </w:tcPr>
          <w:p w14:paraId="670B832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2.419</w:t>
            </w:r>
          </w:p>
        </w:tc>
        <w:tc>
          <w:tcPr>
            <w:tcW w:w="1056" w:type="dxa"/>
            <w:tcBorders>
              <w:top w:val="nil"/>
              <w:left w:val="nil"/>
              <w:bottom w:val="single" w:sz="4" w:space="0" w:color="auto"/>
              <w:right w:val="single" w:sz="4" w:space="0" w:color="auto"/>
            </w:tcBorders>
            <w:shd w:val="clear" w:color="000000" w:fill="D9D9D9"/>
            <w:vAlign w:val="center"/>
            <w:hideMark/>
          </w:tcPr>
          <w:p w14:paraId="3FB387B9"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0.187</w:t>
            </w:r>
          </w:p>
        </w:tc>
        <w:tc>
          <w:tcPr>
            <w:tcW w:w="926" w:type="dxa"/>
            <w:tcBorders>
              <w:top w:val="nil"/>
              <w:left w:val="nil"/>
              <w:bottom w:val="single" w:sz="4" w:space="0" w:color="auto"/>
              <w:right w:val="single" w:sz="4" w:space="0" w:color="auto"/>
            </w:tcBorders>
            <w:shd w:val="clear" w:color="000000" w:fill="D9D9D9"/>
            <w:vAlign w:val="center"/>
            <w:hideMark/>
          </w:tcPr>
          <w:p w14:paraId="656A9727"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8.38%</w:t>
            </w:r>
          </w:p>
        </w:tc>
        <w:tc>
          <w:tcPr>
            <w:tcW w:w="847" w:type="dxa"/>
            <w:tcBorders>
              <w:top w:val="nil"/>
              <w:left w:val="nil"/>
              <w:bottom w:val="single" w:sz="4" w:space="0" w:color="auto"/>
              <w:right w:val="single" w:sz="4" w:space="0" w:color="auto"/>
            </w:tcBorders>
            <w:shd w:val="clear" w:color="000000" w:fill="D9D9D9"/>
            <w:vAlign w:val="center"/>
            <w:hideMark/>
          </w:tcPr>
          <w:p w14:paraId="45358FE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-0.084</w:t>
            </w:r>
          </w:p>
        </w:tc>
      </w:tr>
      <w:tr w:rsidR="002F12B1" w14:paraId="1F4460F3" w14:textId="77777777" w:rsidTr="00D10794">
        <w:trPr>
          <w:trHeight w:val="312"/>
        </w:trPr>
        <w:tc>
          <w:tcPr>
            <w:tcW w:w="3822" w:type="dxa"/>
            <w:tcBorders>
              <w:top w:val="nil"/>
              <w:left w:val="single" w:sz="4" w:space="0" w:color="auto"/>
              <w:bottom w:val="single" w:sz="4" w:space="0" w:color="auto"/>
              <w:right w:val="single" w:sz="4" w:space="0" w:color="auto"/>
            </w:tcBorders>
            <w:shd w:val="clear" w:color="auto" w:fill="auto"/>
            <w:vAlign w:val="center"/>
            <w:hideMark/>
          </w:tcPr>
          <w:p w14:paraId="4132DF2E"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56" w:type="dxa"/>
            <w:tcBorders>
              <w:top w:val="nil"/>
              <w:left w:val="nil"/>
              <w:bottom w:val="single" w:sz="4" w:space="0" w:color="auto"/>
              <w:right w:val="single" w:sz="4" w:space="0" w:color="auto"/>
            </w:tcBorders>
            <w:shd w:val="clear" w:color="auto" w:fill="auto"/>
            <w:vAlign w:val="center"/>
            <w:hideMark/>
          </w:tcPr>
          <w:p w14:paraId="57A8C48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56" w:type="dxa"/>
            <w:tcBorders>
              <w:top w:val="nil"/>
              <w:left w:val="nil"/>
              <w:bottom w:val="single" w:sz="4" w:space="0" w:color="auto"/>
              <w:right w:val="single" w:sz="4" w:space="0" w:color="auto"/>
            </w:tcBorders>
            <w:shd w:val="clear" w:color="auto" w:fill="auto"/>
            <w:vAlign w:val="center"/>
            <w:hideMark/>
          </w:tcPr>
          <w:p w14:paraId="00890AB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-0.466</w:t>
            </w:r>
          </w:p>
        </w:tc>
        <w:tc>
          <w:tcPr>
            <w:tcW w:w="1056" w:type="dxa"/>
            <w:tcBorders>
              <w:top w:val="nil"/>
              <w:left w:val="nil"/>
              <w:bottom w:val="single" w:sz="4" w:space="0" w:color="auto"/>
              <w:right w:val="single" w:sz="4" w:space="0" w:color="auto"/>
            </w:tcBorders>
            <w:shd w:val="clear" w:color="auto" w:fill="auto"/>
            <w:vAlign w:val="center"/>
            <w:hideMark/>
          </w:tcPr>
          <w:p w14:paraId="246D293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-0.466</w:t>
            </w:r>
          </w:p>
        </w:tc>
        <w:tc>
          <w:tcPr>
            <w:tcW w:w="926" w:type="dxa"/>
            <w:tcBorders>
              <w:top w:val="nil"/>
              <w:left w:val="nil"/>
              <w:bottom w:val="single" w:sz="4" w:space="0" w:color="auto"/>
              <w:right w:val="single" w:sz="4" w:space="0" w:color="auto"/>
            </w:tcBorders>
            <w:shd w:val="clear" w:color="auto" w:fill="auto"/>
            <w:vAlign w:val="center"/>
            <w:hideMark/>
          </w:tcPr>
          <w:p w14:paraId="0AD2B37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47" w:type="dxa"/>
            <w:tcBorders>
              <w:top w:val="nil"/>
              <w:left w:val="nil"/>
              <w:bottom w:val="single" w:sz="4" w:space="0" w:color="auto"/>
              <w:right w:val="single" w:sz="4" w:space="0" w:color="auto"/>
            </w:tcBorders>
            <w:shd w:val="clear" w:color="auto" w:fill="auto"/>
            <w:vAlign w:val="center"/>
            <w:hideMark/>
          </w:tcPr>
          <w:p w14:paraId="503BC01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r>
      <w:tr w:rsidR="002F12B1" w14:paraId="3660EBAE" w14:textId="77777777" w:rsidTr="00D10794">
        <w:trPr>
          <w:trHeight w:val="312"/>
        </w:trPr>
        <w:tc>
          <w:tcPr>
            <w:tcW w:w="3822" w:type="dxa"/>
            <w:tcBorders>
              <w:top w:val="nil"/>
              <w:left w:val="single" w:sz="4" w:space="0" w:color="auto"/>
              <w:bottom w:val="single" w:sz="4" w:space="0" w:color="auto"/>
              <w:right w:val="single" w:sz="4" w:space="0" w:color="auto"/>
            </w:tcBorders>
            <w:shd w:val="clear" w:color="000000" w:fill="D9D9D9"/>
            <w:vAlign w:val="center"/>
            <w:hideMark/>
          </w:tcPr>
          <w:p w14:paraId="1D480360"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 xml:space="preserve">Total </w:t>
            </w:r>
            <w:proofErr w:type="spellStart"/>
            <w:r w:rsidRPr="00B90474">
              <w:rPr>
                <w:rFonts w:eastAsia="Times New Roman" w:cs="Arial"/>
                <w:b/>
                <w:bCs/>
                <w:sz w:val="20"/>
                <w:szCs w:val="20"/>
                <w:lang w:eastAsia="en-GB"/>
              </w:rPr>
              <w:t>Organsational</w:t>
            </w:r>
            <w:proofErr w:type="spellEnd"/>
            <w:r w:rsidRPr="00B90474">
              <w:rPr>
                <w:rFonts w:eastAsia="Times New Roman" w:cs="Arial"/>
                <w:b/>
                <w:bCs/>
                <w:sz w:val="20"/>
                <w:szCs w:val="20"/>
                <w:lang w:eastAsia="en-GB"/>
              </w:rPr>
              <w:t xml:space="preserve"> Development and Change</w:t>
            </w:r>
          </w:p>
        </w:tc>
        <w:tc>
          <w:tcPr>
            <w:tcW w:w="1056" w:type="dxa"/>
            <w:tcBorders>
              <w:top w:val="nil"/>
              <w:left w:val="nil"/>
              <w:bottom w:val="single" w:sz="4" w:space="0" w:color="auto"/>
              <w:right w:val="single" w:sz="4" w:space="0" w:color="auto"/>
            </w:tcBorders>
            <w:shd w:val="clear" w:color="000000" w:fill="D9D9D9"/>
            <w:vAlign w:val="center"/>
            <w:hideMark/>
          </w:tcPr>
          <w:p w14:paraId="6EB63D1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2.232</w:t>
            </w:r>
          </w:p>
        </w:tc>
        <w:tc>
          <w:tcPr>
            <w:tcW w:w="1056" w:type="dxa"/>
            <w:tcBorders>
              <w:top w:val="nil"/>
              <w:left w:val="nil"/>
              <w:bottom w:val="single" w:sz="4" w:space="0" w:color="auto"/>
              <w:right w:val="single" w:sz="4" w:space="0" w:color="auto"/>
            </w:tcBorders>
            <w:shd w:val="clear" w:color="000000" w:fill="D9D9D9"/>
            <w:vAlign w:val="center"/>
            <w:hideMark/>
          </w:tcPr>
          <w:p w14:paraId="60524C3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1.953</w:t>
            </w:r>
          </w:p>
        </w:tc>
        <w:tc>
          <w:tcPr>
            <w:tcW w:w="1056" w:type="dxa"/>
            <w:tcBorders>
              <w:top w:val="nil"/>
              <w:left w:val="nil"/>
              <w:bottom w:val="single" w:sz="4" w:space="0" w:color="auto"/>
              <w:right w:val="single" w:sz="4" w:space="0" w:color="auto"/>
            </w:tcBorders>
            <w:shd w:val="clear" w:color="000000" w:fill="D9D9D9"/>
            <w:vAlign w:val="center"/>
            <w:hideMark/>
          </w:tcPr>
          <w:p w14:paraId="50427794"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-0.279</w:t>
            </w:r>
          </w:p>
        </w:tc>
        <w:tc>
          <w:tcPr>
            <w:tcW w:w="926" w:type="dxa"/>
            <w:tcBorders>
              <w:top w:val="nil"/>
              <w:left w:val="nil"/>
              <w:bottom w:val="single" w:sz="4" w:space="0" w:color="auto"/>
              <w:right w:val="single" w:sz="4" w:space="0" w:color="auto"/>
            </w:tcBorders>
            <w:shd w:val="clear" w:color="000000" w:fill="D9D9D9"/>
            <w:vAlign w:val="center"/>
            <w:hideMark/>
          </w:tcPr>
          <w:p w14:paraId="20F238F1"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-12.51%</w:t>
            </w:r>
          </w:p>
        </w:tc>
        <w:tc>
          <w:tcPr>
            <w:tcW w:w="847" w:type="dxa"/>
            <w:tcBorders>
              <w:top w:val="nil"/>
              <w:left w:val="nil"/>
              <w:bottom w:val="single" w:sz="4" w:space="0" w:color="auto"/>
              <w:right w:val="single" w:sz="4" w:space="0" w:color="auto"/>
            </w:tcBorders>
            <w:shd w:val="clear" w:color="000000" w:fill="D9D9D9"/>
            <w:vAlign w:val="center"/>
            <w:hideMark/>
          </w:tcPr>
          <w:p w14:paraId="077F36AB"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-0.084</w:t>
            </w:r>
          </w:p>
        </w:tc>
      </w:tr>
    </w:tbl>
    <w:p w14:paraId="3F3E3679" w14:textId="77777777" w:rsidR="00D10794" w:rsidRPr="00B90474" w:rsidRDefault="00D10794" w:rsidP="00D10794">
      <w:pPr>
        <w:spacing w:after="0"/>
        <w:rPr>
          <w:rFonts w:eastAsia="Times New Roman" w:cs="Arial"/>
          <w:b/>
          <w:lang w:eastAsia="en-GB"/>
        </w:rPr>
      </w:pPr>
    </w:p>
    <w:p w14:paraId="50BC85A4" w14:textId="77777777" w:rsidR="00D10794" w:rsidRPr="00F2288E" w:rsidRDefault="00D10794" w:rsidP="00D10794">
      <w:pPr>
        <w:spacing w:after="0"/>
        <w:contextualSpacing/>
        <w:rPr>
          <w:rFonts w:cs="Arial"/>
          <w:b/>
        </w:rPr>
      </w:pPr>
      <w:r w:rsidRPr="00F2288E">
        <w:rPr>
          <w:rFonts w:cs="Arial"/>
          <w:b/>
        </w:rPr>
        <w:t>Organisational Development and Change – underspend £</w:t>
      </w:r>
      <w:r>
        <w:rPr>
          <w:rFonts w:cs="Arial"/>
          <w:b/>
        </w:rPr>
        <w:t>279,000</w:t>
      </w:r>
    </w:p>
    <w:p w14:paraId="6B5FBB91" w14:textId="77777777" w:rsidR="00D10794" w:rsidRPr="0097703A" w:rsidRDefault="00D10794" w:rsidP="00D10794">
      <w:pPr>
        <w:spacing w:after="0"/>
        <w:contextualSpacing/>
        <w:rPr>
          <w:rFonts w:cs="Arial"/>
        </w:rPr>
      </w:pPr>
      <w:r w:rsidRPr="00F2288E">
        <w:rPr>
          <w:rFonts w:cs="Arial"/>
        </w:rPr>
        <w:t xml:space="preserve">The small underspend across the service is due additional income and underspends on </w:t>
      </w:r>
      <w:r>
        <w:rPr>
          <w:rFonts w:cs="Arial"/>
        </w:rPr>
        <w:t xml:space="preserve">staffing and </w:t>
      </w:r>
      <w:r w:rsidRPr="00F2288E">
        <w:rPr>
          <w:rFonts w:cs="Arial"/>
        </w:rPr>
        <w:t>running costs.</w:t>
      </w:r>
      <w:r>
        <w:rPr>
          <w:rFonts w:cs="Arial"/>
        </w:rPr>
        <w:t xml:space="preserve"> </w:t>
      </w:r>
    </w:p>
    <w:p w14:paraId="52ABA575" w14:textId="77777777" w:rsidR="00D10794" w:rsidRDefault="00D10794" w:rsidP="00D10794">
      <w:pPr>
        <w:spacing w:after="0"/>
        <w:rPr>
          <w:rFonts w:eastAsia="Times New Roman" w:cs="Arial"/>
          <w:b/>
          <w:highlight w:val="yellow"/>
          <w:lang w:eastAsia="en-GB"/>
        </w:rPr>
      </w:pPr>
    </w:p>
    <w:p w14:paraId="1DF7560B" w14:textId="77777777" w:rsidR="00D10794" w:rsidRDefault="00D10794" w:rsidP="00D10794">
      <w:pPr>
        <w:spacing w:after="0"/>
        <w:rPr>
          <w:rFonts w:eastAsia="Times New Roman" w:cs="Arial"/>
          <w:b/>
          <w:highlight w:val="yellow"/>
          <w:lang w:eastAsia="en-GB"/>
        </w:rPr>
      </w:pPr>
    </w:p>
    <w:p w14:paraId="34ACA3FC" w14:textId="77777777" w:rsidR="00D10794" w:rsidRDefault="00D10794" w:rsidP="00D10794">
      <w:pPr>
        <w:spacing w:after="0"/>
        <w:rPr>
          <w:rFonts w:eastAsia="Times New Roman" w:cs="Arial"/>
          <w:b/>
          <w:highlight w:val="yellow"/>
          <w:lang w:eastAsia="en-GB"/>
        </w:rPr>
      </w:pPr>
    </w:p>
    <w:p w14:paraId="5E1BD908" w14:textId="77777777" w:rsidR="00D10794" w:rsidRDefault="00D10794" w:rsidP="00D10794">
      <w:pPr>
        <w:spacing w:after="0"/>
        <w:rPr>
          <w:rFonts w:eastAsia="Times New Roman" w:cs="Arial"/>
          <w:b/>
          <w:highlight w:val="yellow"/>
          <w:lang w:eastAsia="en-GB"/>
        </w:rPr>
      </w:pPr>
    </w:p>
    <w:p w14:paraId="6D61E39E" w14:textId="77777777" w:rsidR="00D10794" w:rsidRDefault="00D10794" w:rsidP="00D10794">
      <w:pPr>
        <w:spacing w:after="0"/>
        <w:rPr>
          <w:rFonts w:eastAsia="Times New Roman" w:cs="Arial"/>
          <w:b/>
          <w:highlight w:val="yellow"/>
          <w:lang w:eastAsia="en-GB"/>
        </w:rPr>
      </w:pPr>
    </w:p>
    <w:p w14:paraId="5F660AD3" w14:textId="77777777" w:rsidR="00D10794" w:rsidRDefault="00D10794" w:rsidP="00D10794">
      <w:pPr>
        <w:spacing w:after="0"/>
        <w:rPr>
          <w:rFonts w:eastAsia="Times New Roman" w:cs="Arial"/>
          <w:b/>
          <w:highlight w:val="yellow"/>
          <w:lang w:eastAsia="en-GB"/>
        </w:rPr>
      </w:pPr>
    </w:p>
    <w:p w14:paraId="68BA262E" w14:textId="77777777" w:rsidR="00D10794" w:rsidRDefault="00D10794" w:rsidP="00D10794">
      <w:pPr>
        <w:spacing w:after="0"/>
        <w:rPr>
          <w:rFonts w:eastAsia="Times New Roman" w:cs="Arial"/>
          <w:b/>
          <w:highlight w:val="yellow"/>
          <w:lang w:eastAsia="en-GB"/>
        </w:rPr>
      </w:pPr>
    </w:p>
    <w:p w14:paraId="48579145" w14:textId="77777777" w:rsidR="00D10794" w:rsidRDefault="00D10794" w:rsidP="00D10794">
      <w:pPr>
        <w:spacing w:after="0"/>
        <w:rPr>
          <w:rFonts w:eastAsia="Times New Roman" w:cs="Arial"/>
          <w:b/>
          <w:highlight w:val="yellow"/>
          <w:lang w:eastAsia="en-GB"/>
        </w:rPr>
      </w:pPr>
    </w:p>
    <w:p w14:paraId="626CE6BF" w14:textId="77777777" w:rsidR="00D10794" w:rsidRDefault="00D10794" w:rsidP="00D10794">
      <w:pPr>
        <w:spacing w:after="0"/>
        <w:rPr>
          <w:rFonts w:eastAsia="Times New Roman" w:cs="Arial"/>
          <w:b/>
          <w:highlight w:val="yellow"/>
          <w:lang w:eastAsia="en-GB"/>
        </w:rPr>
      </w:pPr>
    </w:p>
    <w:p w14:paraId="06DD0FB2" w14:textId="77777777" w:rsidR="00D10794" w:rsidRDefault="00D10794" w:rsidP="00D10794">
      <w:pPr>
        <w:spacing w:after="0"/>
        <w:rPr>
          <w:rFonts w:eastAsia="Times New Roman" w:cs="Arial"/>
          <w:b/>
          <w:highlight w:val="yellow"/>
          <w:lang w:eastAsia="en-GB"/>
        </w:rPr>
      </w:pPr>
    </w:p>
    <w:p w14:paraId="69AFDF20" w14:textId="77777777" w:rsidR="00D10794" w:rsidRDefault="00D10794" w:rsidP="00D10794">
      <w:pPr>
        <w:spacing w:after="0"/>
        <w:rPr>
          <w:rFonts w:eastAsia="Times New Roman" w:cs="Arial"/>
          <w:b/>
          <w:highlight w:val="yellow"/>
          <w:lang w:eastAsia="en-GB"/>
        </w:rPr>
      </w:pPr>
    </w:p>
    <w:p w14:paraId="1B0FC90F" w14:textId="77777777" w:rsidR="00D10794" w:rsidRDefault="00D10794" w:rsidP="00D10794">
      <w:pPr>
        <w:spacing w:after="0"/>
        <w:rPr>
          <w:rFonts w:eastAsia="Times New Roman" w:cs="Arial"/>
          <w:b/>
          <w:highlight w:val="yellow"/>
          <w:lang w:eastAsia="en-GB"/>
        </w:rPr>
      </w:pPr>
    </w:p>
    <w:p w14:paraId="47A116A5" w14:textId="77777777" w:rsidR="00D10794" w:rsidRDefault="00D10794" w:rsidP="00D10794">
      <w:pPr>
        <w:spacing w:after="0"/>
        <w:rPr>
          <w:rFonts w:eastAsia="Times New Roman" w:cs="Arial"/>
          <w:b/>
          <w:highlight w:val="yellow"/>
          <w:lang w:eastAsia="en-GB"/>
        </w:rPr>
      </w:pPr>
    </w:p>
    <w:p w14:paraId="09EE9BC0" w14:textId="77777777" w:rsidR="00D10794" w:rsidRDefault="00D10794" w:rsidP="00D10794">
      <w:pPr>
        <w:spacing w:after="0"/>
        <w:rPr>
          <w:rFonts w:eastAsia="Times New Roman" w:cs="Arial"/>
          <w:b/>
          <w:highlight w:val="yellow"/>
          <w:lang w:eastAsia="en-GB"/>
        </w:rPr>
      </w:pPr>
    </w:p>
    <w:p w14:paraId="21D9C621" w14:textId="77777777" w:rsidR="00D10794" w:rsidRDefault="00D10794" w:rsidP="00D10794">
      <w:pPr>
        <w:spacing w:after="0"/>
        <w:rPr>
          <w:rFonts w:eastAsia="Times New Roman" w:cs="Arial"/>
          <w:b/>
          <w:highlight w:val="yellow"/>
          <w:lang w:eastAsia="en-GB"/>
        </w:rPr>
      </w:pPr>
    </w:p>
    <w:p w14:paraId="3A92AE5D" w14:textId="77777777" w:rsidR="00D10794" w:rsidRDefault="00D10794" w:rsidP="00D10794">
      <w:pPr>
        <w:spacing w:after="0"/>
        <w:rPr>
          <w:rFonts w:eastAsia="Times New Roman" w:cs="Arial"/>
          <w:b/>
          <w:highlight w:val="yellow"/>
          <w:lang w:eastAsia="en-GB"/>
        </w:rPr>
      </w:pPr>
    </w:p>
    <w:p w14:paraId="2837FF7A" w14:textId="77777777" w:rsidR="00D10794" w:rsidRDefault="00D10794" w:rsidP="00D10794">
      <w:pPr>
        <w:spacing w:after="0"/>
        <w:rPr>
          <w:rFonts w:eastAsia="Times New Roman" w:cs="Arial"/>
          <w:b/>
          <w:highlight w:val="yellow"/>
          <w:lang w:eastAsia="en-GB"/>
        </w:rPr>
      </w:pPr>
    </w:p>
    <w:p w14:paraId="0750AF0F" w14:textId="77777777" w:rsidR="00D10794" w:rsidRDefault="00D10794" w:rsidP="00D10794">
      <w:pPr>
        <w:spacing w:after="0"/>
        <w:rPr>
          <w:rFonts w:eastAsia="Times New Roman" w:cs="Arial"/>
          <w:b/>
          <w:highlight w:val="yellow"/>
          <w:lang w:eastAsia="en-GB"/>
        </w:rPr>
      </w:pPr>
    </w:p>
    <w:p w14:paraId="3D588DB8" w14:textId="77777777" w:rsidR="00D10794" w:rsidRDefault="00D10794" w:rsidP="00D10794">
      <w:pPr>
        <w:spacing w:after="0"/>
        <w:rPr>
          <w:rFonts w:eastAsia="Times New Roman" w:cs="Arial"/>
          <w:b/>
          <w:highlight w:val="yellow"/>
          <w:lang w:eastAsia="en-GB"/>
        </w:rPr>
      </w:pPr>
    </w:p>
    <w:p w14:paraId="09419953" w14:textId="77777777" w:rsidR="00D10794" w:rsidRDefault="00D10794" w:rsidP="00D10794">
      <w:pPr>
        <w:spacing w:after="0"/>
        <w:rPr>
          <w:rFonts w:eastAsia="Times New Roman" w:cs="Arial"/>
          <w:b/>
          <w:highlight w:val="yellow"/>
          <w:lang w:eastAsia="en-GB"/>
        </w:rPr>
      </w:pPr>
    </w:p>
    <w:p w14:paraId="34A3B196" w14:textId="77777777" w:rsidR="00D10794" w:rsidRDefault="00D10794" w:rsidP="00D10794">
      <w:pPr>
        <w:spacing w:after="0"/>
        <w:rPr>
          <w:rFonts w:eastAsia="Times New Roman" w:cs="Arial"/>
          <w:b/>
          <w:highlight w:val="yellow"/>
          <w:lang w:eastAsia="en-GB"/>
        </w:rPr>
      </w:pPr>
    </w:p>
    <w:p w14:paraId="06E09652" w14:textId="77777777" w:rsidR="00D10794" w:rsidRDefault="00D10794" w:rsidP="00D10794">
      <w:pPr>
        <w:spacing w:after="0"/>
        <w:rPr>
          <w:rFonts w:eastAsia="Times New Roman" w:cs="Arial"/>
          <w:b/>
          <w:highlight w:val="yellow"/>
          <w:lang w:eastAsia="en-GB"/>
        </w:rPr>
      </w:pPr>
    </w:p>
    <w:p w14:paraId="70F37E8F" w14:textId="77777777" w:rsidR="00D10794" w:rsidRDefault="00D10794" w:rsidP="00D10794">
      <w:pPr>
        <w:spacing w:after="0"/>
        <w:rPr>
          <w:rFonts w:eastAsia="Times New Roman" w:cs="Arial"/>
          <w:b/>
          <w:highlight w:val="yellow"/>
          <w:lang w:eastAsia="en-GB"/>
        </w:rPr>
      </w:pPr>
    </w:p>
    <w:p w14:paraId="484B2BAF" w14:textId="77777777" w:rsidR="00D10794" w:rsidRDefault="00D10794" w:rsidP="00D10794">
      <w:pPr>
        <w:spacing w:after="0"/>
        <w:rPr>
          <w:rFonts w:eastAsia="Times New Roman" w:cs="Arial"/>
          <w:b/>
          <w:highlight w:val="yellow"/>
          <w:lang w:eastAsia="en-GB"/>
        </w:rPr>
      </w:pPr>
    </w:p>
    <w:p w14:paraId="06D7BC9B" w14:textId="77777777" w:rsidR="00D10794" w:rsidRDefault="00D10794" w:rsidP="00D10794">
      <w:pPr>
        <w:spacing w:after="0"/>
        <w:rPr>
          <w:rFonts w:eastAsia="Times New Roman" w:cs="Arial"/>
          <w:b/>
          <w:highlight w:val="yellow"/>
          <w:lang w:eastAsia="en-GB"/>
        </w:rPr>
      </w:pPr>
    </w:p>
    <w:p w14:paraId="1D6B4C98" w14:textId="77777777" w:rsidR="00D10794" w:rsidRDefault="00D10794" w:rsidP="00D10794">
      <w:pPr>
        <w:spacing w:after="0"/>
        <w:rPr>
          <w:rFonts w:eastAsia="Times New Roman" w:cs="Arial"/>
          <w:b/>
          <w:highlight w:val="yellow"/>
          <w:lang w:eastAsia="en-GB"/>
        </w:rPr>
      </w:pPr>
    </w:p>
    <w:p w14:paraId="3866253B" w14:textId="77777777" w:rsidR="00D10794" w:rsidRDefault="00D10794" w:rsidP="00D10794">
      <w:pPr>
        <w:spacing w:after="0"/>
        <w:rPr>
          <w:rFonts w:eastAsia="Times New Roman" w:cs="Arial"/>
          <w:b/>
          <w:highlight w:val="yellow"/>
          <w:lang w:eastAsia="en-GB"/>
        </w:rPr>
      </w:pPr>
    </w:p>
    <w:p w14:paraId="41AF233F" w14:textId="77777777" w:rsidR="00D10794" w:rsidRDefault="00D10794" w:rsidP="00D10794">
      <w:pPr>
        <w:spacing w:after="0"/>
        <w:rPr>
          <w:rFonts w:eastAsia="Times New Roman" w:cs="Arial"/>
          <w:b/>
          <w:highlight w:val="yellow"/>
          <w:lang w:eastAsia="en-GB"/>
        </w:rPr>
      </w:pPr>
    </w:p>
    <w:p w14:paraId="76E8076B" w14:textId="77777777" w:rsidR="00D10794" w:rsidRDefault="00D10794" w:rsidP="00D10794">
      <w:pPr>
        <w:spacing w:after="0"/>
        <w:rPr>
          <w:rFonts w:eastAsia="Times New Roman" w:cs="Arial"/>
          <w:b/>
          <w:highlight w:val="yellow"/>
          <w:lang w:eastAsia="en-GB"/>
        </w:rPr>
      </w:pPr>
    </w:p>
    <w:p w14:paraId="3E71846A" w14:textId="77777777" w:rsidR="00D10794" w:rsidRDefault="00D10794" w:rsidP="00D10794">
      <w:pPr>
        <w:spacing w:after="0"/>
        <w:rPr>
          <w:rFonts w:eastAsia="Times New Roman" w:cs="Arial"/>
          <w:b/>
          <w:highlight w:val="yellow"/>
          <w:lang w:eastAsia="en-GB"/>
        </w:rPr>
      </w:pPr>
    </w:p>
    <w:p w14:paraId="23F1A9C1" w14:textId="77777777" w:rsidR="00D10794" w:rsidRDefault="00D10794" w:rsidP="00D10794">
      <w:pPr>
        <w:spacing w:after="0"/>
        <w:rPr>
          <w:rFonts w:eastAsia="Times New Roman" w:cs="Arial"/>
          <w:b/>
          <w:highlight w:val="yellow"/>
          <w:lang w:eastAsia="en-GB"/>
        </w:rPr>
      </w:pPr>
    </w:p>
    <w:p w14:paraId="090A2363" w14:textId="77777777" w:rsidR="00D10794" w:rsidRDefault="00D10794" w:rsidP="00D10794">
      <w:pPr>
        <w:spacing w:after="0"/>
        <w:rPr>
          <w:rFonts w:eastAsia="Times New Roman" w:cs="Arial"/>
          <w:b/>
          <w:highlight w:val="yellow"/>
          <w:lang w:eastAsia="en-GB"/>
        </w:rPr>
      </w:pPr>
    </w:p>
    <w:p w14:paraId="64FC515F" w14:textId="77777777" w:rsidR="00D10794" w:rsidRDefault="00D10794" w:rsidP="00D10794">
      <w:pPr>
        <w:spacing w:after="0"/>
        <w:rPr>
          <w:rFonts w:eastAsia="Times New Roman" w:cs="Arial"/>
          <w:b/>
          <w:highlight w:val="yellow"/>
          <w:lang w:eastAsia="en-GB"/>
        </w:rPr>
      </w:pPr>
    </w:p>
    <w:p w14:paraId="3ECAA37F" w14:textId="77777777" w:rsidR="00D10794" w:rsidRDefault="00D10794" w:rsidP="00D10794">
      <w:pPr>
        <w:spacing w:after="0"/>
        <w:rPr>
          <w:rFonts w:eastAsia="Times New Roman" w:cs="Arial"/>
          <w:b/>
          <w:highlight w:val="yellow"/>
          <w:lang w:eastAsia="en-GB"/>
        </w:rPr>
      </w:pPr>
    </w:p>
    <w:p w14:paraId="7EEF0DE2" w14:textId="77777777" w:rsidR="00D10794" w:rsidRDefault="00D10794" w:rsidP="00D10794">
      <w:pPr>
        <w:spacing w:after="0"/>
        <w:rPr>
          <w:rFonts w:eastAsia="Times New Roman" w:cs="Arial"/>
          <w:b/>
          <w:highlight w:val="yellow"/>
          <w:lang w:eastAsia="en-GB"/>
        </w:rPr>
      </w:pPr>
    </w:p>
    <w:p w14:paraId="33F493A2" w14:textId="77777777" w:rsidR="00D10794" w:rsidRDefault="00D10794" w:rsidP="00D10794">
      <w:pPr>
        <w:spacing w:after="0"/>
        <w:rPr>
          <w:rFonts w:eastAsia="Times New Roman" w:cs="Arial"/>
          <w:b/>
          <w:highlight w:val="yellow"/>
          <w:lang w:eastAsia="en-GB"/>
        </w:rPr>
      </w:pPr>
    </w:p>
    <w:p w14:paraId="48D0837F" w14:textId="77777777" w:rsidR="00D10794" w:rsidRPr="00BC70A2" w:rsidRDefault="00D10794" w:rsidP="00D10794">
      <w:pPr>
        <w:spacing w:after="0"/>
        <w:rPr>
          <w:rFonts w:eastAsia="Times New Roman" w:cs="Arial"/>
          <w:b/>
          <w:lang w:eastAsia="en-GB"/>
        </w:rPr>
      </w:pPr>
      <w:r w:rsidRPr="00BC70A2">
        <w:rPr>
          <w:rFonts w:eastAsia="Times New Roman" w:cs="Arial"/>
          <w:b/>
          <w:lang w:eastAsia="en-GB"/>
        </w:rPr>
        <w:lastRenderedPageBreak/>
        <w:t>3.8 Waste Management</w:t>
      </w:r>
    </w:p>
    <w:p w14:paraId="02516A38" w14:textId="77777777" w:rsidR="00D10794" w:rsidRDefault="00D10794" w:rsidP="00D10794">
      <w:pPr>
        <w:spacing w:after="0"/>
        <w:rPr>
          <w:rFonts w:eastAsia="Times New Roman" w:cs="Arial"/>
          <w:b/>
          <w:highlight w:val="yellow"/>
          <w:lang w:eastAsia="en-GB"/>
        </w:rPr>
      </w:pPr>
    </w:p>
    <w:tbl>
      <w:tblPr>
        <w:tblW w:w="8561" w:type="dxa"/>
        <w:tblLook w:val="04A0" w:firstRow="1" w:lastRow="0" w:firstColumn="1" w:lastColumn="0" w:noHBand="0" w:noVBand="1"/>
      </w:tblPr>
      <w:tblGrid>
        <w:gridCol w:w="3246"/>
        <w:gridCol w:w="1150"/>
        <w:gridCol w:w="1015"/>
        <w:gridCol w:w="1050"/>
        <w:gridCol w:w="1050"/>
        <w:gridCol w:w="1050"/>
      </w:tblGrid>
      <w:tr w:rsidR="002F12B1" w14:paraId="0C7F1866" w14:textId="77777777" w:rsidTr="00D10794">
        <w:trPr>
          <w:trHeight w:val="811"/>
        </w:trPr>
        <w:tc>
          <w:tcPr>
            <w:tcW w:w="3733" w:type="dxa"/>
            <w:tcBorders>
              <w:top w:val="single" w:sz="4" w:space="0" w:color="auto"/>
              <w:left w:val="single" w:sz="4" w:space="0" w:color="auto"/>
              <w:bottom w:val="nil"/>
              <w:right w:val="single" w:sz="4" w:space="0" w:color="auto"/>
            </w:tcBorders>
            <w:shd w:val="clear" w:color="000000" w:fill="D9D9D9"/>
            <w:vAlign w:val="center"/>
            <w:hideMark/>
          </w:tcPr>
          <w:p w14:paraId="086499F9" w14:textId="77777777"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14:paraId="16739EB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14:paraId="6C9C4787"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32" w:type="dxa"/>
            <w:tcBorders>
              <w:top w:val="single" w:sz="4" w:space="0" w:color="auto"/>
              <w:left w:val="nil"/>
              <w:bottom w:val="single" w:sz="4" w:space="0" w:color="auto"/>
              <w:right w:val="single" w:sz="4" w:space="0" w:color="auto"/>
            </w:tcBorders>
            <w:shd w:val="clear" w:color="000000" w:fill="D9D9D9"/>
            <w:vAlign w:val="center"/>
            <w:hideMark/>
          </w:tcPr>
          <w:p w14:paraId="4271096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04" w:type="dxa"/>
            <w:tcBorders>
              <w:top w:val="single" w:sz="4" w:space="0" w:color="auto"/>
              <w:left w:val="nil"/>
              <w:bottom w:val="single" w:sz="4" w:space="0" w:color="auto"/>
              <w:right w:val="single" w:sz="4" w:space="0" w:color="auto"/>
            </w:tcBorders>
            <w:shd w:val="clear" w:color="000000" w:fill="D9D9D9"/>
            <w:vAlign w:val="center"/>
            <w:hideMark/>
          </w:tcPr>
          <w:p w14:paraId="05839B1B"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14:paraId="24E1FBA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6CCD02EC" w14:textId="77777777" w:rsidTr="00D10794">
        <w:trPr>
          <w:trHeight w:val="318"/>
        </w:trPr>
        <w:tc>
          <w:tcPr>
            <w:tcW w:w="3733" w:type="dxa"/>
            <w:tcBorders>
              <w:top w:val="nil"/>
              <w:left w:val="single" w:sz="4" w:space="0" w:color="auto"/>
              <w:bottom w:val="single" w:sz="4" w:space="0" w:color="auto"/>
              <w:right w:val="single" w:sz="4" w:space="0" w:color="auto"/>
            </w:tcBorders>
            <w:shd w:val="clear" w:color="000000" w:fill="D9D9D9"/>
            <w:vAlign w:val="center"/>
            <w:hideMark/>
          </w:tcPr>
          <w:p w14:paraId="02D7AA6B"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032" w:type="dxa"/>
            <w:tcBorders>
              <w:top w:val="nil"/>
              <w:left w:val="nil"/>
              <w:bottom w:val="single" w:sz="4" w:space="0" w:color="auto"/>
              <w:right w:val="single" w:sz="4" w:space="0" w:color="auto"/>
            </w:tcBorders>
            <w:shd w:val="clear" w:color="000000" w:fill="D9D9D9"/>
            <w:vAlign w:val="center"/>
            <w:hideMark/>
          </w:tcPr>
          <w:p w14:paraId="26B1888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14:paraId="03CFDC6C"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32" w:type="dxa"/>
            <w:tcBorders>
              <w:top w:val="nil"/>
              <w:left w:val="nil"/>
              <w:bottom w:val="single" w:sz="4" w:space="0" w:color="auto"/>
              <w:right w:val="single" w:sz="4" w:space="0" w:color="auto"/>
            </w:tcBorders>
            <w:shd w:val="clear" w:color="000000" w:fill="D9D9D9"/>
            <w:vAlign w:val="center"/>
            <w:hideMark/>
          </w:tcPr>
          <w:p w14:paraId="5847CDE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04" w:type="dxa"/>
            <w:tcBorders>
              <w:top w:val="nil"/>
              <w:left w:val="nil"/>
              <w:bottom w:val="single" w:sz="4" w:space="0" w:color="auto"/>
              <w:right w:val="single" w:sz="4" w:space="0" w:color="auto"/>
            </w:tcBorders>
            <w:shd w:val="clear" w:color="000000" w:fill="D9D9D9"/>
            <w:vAlign w:val="center"/>
            <w:hideMark/>
          </w:tcPr>
          <w:p w14:paraId="55B24F36"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28" w:type="dxa"/>
            <w:tcBorders>
              <w:top w:val="nil"/>
              <w:left w:val="nil"/>
              <w:bottom w:val="single" w:sz="4" w:space="0" w:color="auto"/>
              <w:right w:val="single" w:sz="4" w:space="0" w:color="auto"/>
            </w:tcBorders>
            <w:shd w:val="clear" w:color="000000" w:fill="D9D9D9"/>
            <w:vAlign w:val="center"/>
            <w:hideMark/>
          </w:tcPr>
          <w:p w14:paraId="3495AAF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68C1A2D2" w14:textId="77777777" w:rsidTr="00D10794">
        <w:trPr>
          <w:trHeight w:val="318"/>
        </w:trPr>
        <w:tc>
          <w:tcPr>
            <w:tcW w:w="3733" w:type="dxa"/>
            <w:tcBorders>
              <w:top w:val="nil"/>
              <w:left w:val="single" w:sz="4" w:space="0" w:color="auto"/>
              <w:bottom w:val="single" w:sz="4" w:space="0" w:color="auto"/>
              <w:right w:val="single" w:sz="4" w:space="0" w:color="auto"/>
            </w:tcBorders>
            <w:shd w:val="clear" w:color="000000" w:fill="D9D9D9"/>
            <w:vAlign w:val="center"/>
            <w:hideMark/>
          </w:tcPr>
          <w:p w14:paraId="0FF60A3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Waste M</w:t>
            </w:r>
            <w:r>
              <w:rPr>
                <w:rFonts w:eastAsia="Times New Roman" w:cs="Arial"/>
                <w:b/>
                <w:bCs/>
                <w:sz w:val="20"/>
                <w:szCs w:val="20"/>
                <w:lang w:eastAsia="en-GB"/>
              </w:rPr>
              <w:t>anagement</w:t>
            </w:r>
          </w:p>
        </w:tc>
        <w:tc>
          <w:tcPr>
            <w:tcW w:w="1032" w:type="dxa"/>
            <w:tcBorders>
              <w:top w:val="nil"/>
              <w:left w:val="nil"/>
              <w:bottom w:val="single" w:sz="4" w:space="0" w:color="auto"/>
              <w:right w:val="single" w:sz="4" w:space="0" w:color="auto"/>
            </w:tcBorders>
            <w:shd w:val="clear" w:color="auto" w:fill="auto"/>
            <w:vAlign w:val="center"/>
            <w:hideMark/>
          </w:tcPr>
          <w:p w14:paraId="6CF31B8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65.957</w:t>
            </w:r>
          </w:p>
        </w:tc>
        <w:tc>
          <w:tcPr>
            <w:tcW w:w="1032" w:type="dxa"/>
            <w:tcBorders>
              <w:top w:val="nil"/>
              <w:left w:val="nil"/>
              <w:bottom w:val="single" w:sz="4" w:space="0" w:color="auto"/>
              <w:right w:val="single" w:sz="4" w:space="0" w:color="auto"/>
            </w:tcBorders>
            <w:shd w:val="clear" w:color="auto" w:fill="auto"/>
            <w:vAlign w:val="center"/>
            <w:hideMark/>
          </w:tcPr>
          <w:p w14:paraId="4573D65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66.219</w:t>
            </w:r>
          </w:p>
        </w:tc>
        <w:tc>
          <w:tcPr>
            <w:tcW w:w="1032" w:type="dxa"/>
            <w:tcBorders>
              <w:top w:val="nil"/>
              <w:left w:val="nil"/>
              <w:bottom w:val="single" w:sz="4" w:space="0" w:color="auto"/>
              <w:right w:val="single" w:sz="4" w:space="0" w:color="auto"/>
            </w:tcBorders>
            <w:shd w:val="clear" w:color="000000" w:fill="D9D9D9"/>
            <w:vAlign w:val="center"/>
            <w:hideMark/>
          </w:tcPr>
          <w:p w14:paraId="07F1DE5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0.262</w:t>
            </w:r>
          </w:p>
        </w:tc>
        <w:tc>
          <w:tcPr>
            <w:tcW w:w="904" w:type="dxa"/>
            <w:tcBorders>
              <w:top w:val="nil"/>
              <w:left w:val="nil"/>
              <w:bottom w:val="single" w:sz="4" w:space="0" w:color="auto"/>
              <w:right w:val="single" w:sz="4" w:space="0" w:color="auto"/>
            </w:tcBorders>
            <w:shd w:val="clear" w:color="auto" w:fill="auto"/>
            <w:vAlign w:val="center"/>
            <w:hideMark/>
          </w:tcPr>
          <w:p w14:paraId="64EB34D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0.40%</w:t>
            </w:r>
          </w:p>
        </w:tc>
        <w:tc>
          <w:tcPr>
            <w:tcW w:w="828" w:type="dxa"/>
            <w:tcBorders>
              <w:top w:val="nil"/>
              <w:left w:val="nil"/>
              <w:bottom w:val="single" w:sz="4" w:space="0" w:color="auto"/>
              <w:right w:val="single" w:sz="4" w:space="0" w:color="auto"/>
            </w:tcBorders>
            <w:shd w:val="clear" w:color="auto" w:fill="auto"/>
            <w:vAlign w:val="center"/>
            <w:hideMark/>
          </w:tcPr>
          <w:p w14:paraId="2E575E1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-0.819</w:t>
            </w:r>
          </w:p>
        </w:tc>
      </w:tr>
      <w:tr w:rsidR="002F12B1" w14:paraId="09C95C9B" w14:textId="77777777" w:rsidTr="00D10794">
        <w:trPr>
          <w:trHeight w:val="318"/>
        </w:trPr>
        <w:tc>
          <w:tcPr>
            <w:tcW w:w="3733" w:type="dxa"/>
            <w:tcBorders>
              <w:top w:val="nil"/>
              <w:left w:val="single" w:sz="4" w:space="0" w:color="auto"/>
              <w:bottom w:val="single" w:sz="4" w:space="0" w:color="auto"/>
              <w:right w:val="single" w:sz="4" w:space="0" w:color="auto"/>
            </w:tcBorders>
            <w:shd w:val="clear" w:color="000000" w:fill="D9D9D9"/>
            <w:vAlign w:val="center"/>
            <w:hideMark/>
          </w:tcPr>
          <w:p w14:paraId="679045E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32" w:type="dxa"/>
            <w:tcBorders>
              <w:top w:val="nil"/>
              <w:left w:val="nil"/>
              <w:bottom w:val="single" w:sz="4" w:space="0" w:color="auto"/>
              <w:right w:val="single" w:sz="4" w:space="0" w:color="auto"/>
            </w:tcBorders>
            <w:shd w:val="clear" w:color="000000" w:fill="D9D9D9"/>
            <w:vAlign w:val="center"/>
            <w:hideMark/>
          </w:tcPr>
          <w:p w14:paraId="24D6932D"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65.957</w:t>
            </w:r>
          </w:p>
        </w:tc>
        <w:tc>
          <w:tcPr>
            <w:tcW w:w="1032" w:type="dxa"/>
            <w:tcBorders>
              <w:top w:val="nil"/>
              <w:left w:val="nil"/>
              <w:bottom w:val="single" w:sz="4" w:space="0" w:color="auto"/>
              <w:right w:val="single" w:sz="4" w:space="0" w:color="auto"/>
            </w:tcBorders>
            <w:shd w:val="clear" w:color="000000" w:fill="D9D9D9"/>
            <w:vAlign w:val="center"/>
            <w:hideMark/>
          </w:tcPr>
          <w:p w14:paraId="56D8DA2C"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66.219</w:t>
            </w:r>
          </w:p>
        </w:tc>
        <w:tc>
          <w:tcPr>
            <w:tcW w:w="1032" w:type="dxa"/>
            <w:tcBorders>
              <w:top w:val="nil"/>
              <w:left w:val="nil"/>
              <w:bottom w:val="single" w:sz="4" w:space="0" w:color="auto"/>
              <w:right w:val="single" w:sz="4" w:space="0" w:color="auto"/>
            </w:tcBorders>
            <w:shd w:val="clear" w:color="000000" w:fill="D9D9D9"/>
            <w:vAlign w:val="center"/>
            <w:hideMark/>
          </w:tcPr>
          <w:p w14:paraId="5836A5F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0.262</w:t>
            </w:r>
          </w:p>
        </w:tc>
        <w:tc>
          <w:tcPr>
            <w:tcW w:w="904" w:type="dxa"/>
            <w:tcBorders>
              <w:top w:val="nil"/>
              <w:left w:val="nil"/>
              <w:bottom w:val="single" w:sz="4" w:space="0" w:color="auto"/>
              <w:right w:val="single" w:sz="4" w:space="0" w:color="auto"/>
            </w:tcBorders>
            <w:shd w:val="clear" w:color="000000" w:fill="D9D9D9"/>
            <w:vAlign w:val="center"/>
            <w:hideMark/>
          </w:tcPr>
          <w:p w14:paraId="438B039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0.40%</w:t>
            </w:r>
          </w:p>
        </w:tc>
        <w:tc>
          <w:tcPr>
            <w:tcW w:w="828" w:type="dxa"/>
            <w:tcBorders>
              <w:top w:val="nil"/>
              <w:left w:val="nil"/>
              <w:bottom w:val="single" w:sz="4" w:space="0" w:color="auto"/>
              <w:right w:val="single" w:sz="4" w:space="0" w:color="auto"/>
            </w:tcBorders>
            <w:shd w:val="clear" w:color="000000" w:fill="D9D9D9"/>
            <w:vAlign w:val="center"/>
            <w:hideMark/>
          </w:tcPr>
          <w:p w14:paraId="4714F35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-0.819</w:t>
            </w:r>
          </w:p>
        </w:tc>
      </w:tr>
      <w:tr w:rsidR="002F12B1" w14:paraId="73A6DA8E" w14:textId="77777777" w:rsidTr="00D10794">
        <w:trPr>
          <w:trHeight w:val="318"/>
        </w:trPr>
        <w:tc>
          <w:tcPr>
            <w:tcW w:w="3733" w:type="dxa"/>
            <w:tcBorders>
              <w:top w:val="nil"/>
              <w:left w:val="single" w:sz="4" w:space="0" w:color="auto"/>
              <w:bottom w:val="single" w:sz="4" w:space="0" w:color="auto"/>
              <w:right w:val="single" w:sz="4" w:space="0" w:color="auto"/>
            </w:tcBorders>
            <w:shd w:val="clear" w:color="auto" w:fill="auto"/>
            <w:vAlign w:val="center"/>
            <w:hideMark/>
          </w:tcPr>
          <w:p w14:paraId="0CF258A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32" w:type="dxa"/>
            <w:tcBorders>
              <w:top w:val="nil"/>
              <w:left w:val="nil"/>
              <w:bottom w:val="single" w:sz="4" w:space="0" w:color="auto"/>
              <w:right w:val="single" w:sz="4" w:space="0" w:color="auto"/>
            </w:tcBorders>
            <w:shd w:val="clear" w:color="auto" w:fill="auto"/>
            <w:vAlign w:val="center"/>
            <w:hideMark/>
          </w:tcPr>
          <w:p w14:paraId="484027A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32" w:type="dxa"/>
            <w:tcBorders>
              <w:top w:val="nil"/>
              <w:left w:val="nil"/>
              <w:bottom w:val="single" w:sz="4" w:space="0" w:color="auto"/>
              <w:right w:val="single" w:sz="4" w:space="0" w:color="auto"/>
            </w:tcBorders>
            <w:shd w:val="clear" w:color="auto" w:fill="auto"/>
            <w:vAlign w:val="center"/>
            <w:hideMark/>
          </w:tcPr>
          <w:p w14:paraId="603D3C5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-2.302</w:t>
            </w:r>
          </w:p>
        </w:tc>
        <w:tc>
          <w:tcPr>
            <w:tcW w:w="1032" w:type="dxa"/>
            <w:tcBorders>
              <w:top w:val="nil"/>
              <w:left w:val="nil"/>
              <w:bottom w:val="single" w:sz="4" w:space="0" w:color="auto"/>
              <w:right w:val="single" w:sz="4" w:space="0" w:color="auto"/>
            </w:tcBorders>
            <w:shd w:val="clear" w:color="auto" w:fill="auto"/>
            <w:vAlign w:val="center"/>
            <w:hideMark/>
          </w:tcPr>
          <w:p w14:paraId="2840517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-2.302</w:t>
            </w:r>
          </w:p>
        </w:tc>
        <w:tc>
          <w:tcPr>
            <w:tcW w:w="904" w:type="dxa"/>
            <w:tcBorders>
              <w:top w:val="nil"/>
              <w:left w:val="nil"/>
              <w:bottom w:val="single" w:sz="4" w:space="0" w:color="auto"/>
              <w:right w:val="single" w:sz="4" w:space="0" w:color="auto"/>
            </w:tcBorders>
            <w:shd w:val="clear" w:color="auto" w:fill="auto"/>
            <w:vAlign w:val="center"/>
            <w:hideMark/>
          </w:tcPr>
          <w:p w14:paraId="4682DC4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28" w:type="dxa"/>
            <w:tcBorders>
              <w:top w:val="nil"/>
              <w:left w:val="nil"/>
              <w:bottom w:val="single" w:sz="4" w:space="0" w:color="auto"/>
              <w:right w:val="single" w:sz="4" w:space="0" w:color="auto"/>
            </w:tcBorders>
            <w:shd w:val="clear" w:color="auto" w:fill="auto"/>
            <w:vAlign w:val="center"/>
            <w:hideMark/>
          </w:tcPr>
          <w:p w14:paraId="2548C47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-1.490</w:t>
            </w:r>
          </w:p>
        </w:tc>
      </w:tr>
      <w:tr w:rsidR="002F12B1" w14:paraId="3244BBCD" w14:textId="77777777" w:rsidTr="00D10794">
        <w:trPr>
          <w:trHeight w:val="318"/>
        </w:trPr>
        <w:tc>
          <w:tcPr>
            <w:tcW w:w="3733" w:type="dxa"/>
            <w:tcBorders>
              <w:top w:val="nil"/>
              <w:left w:val="single" w:sz="4" w:space="0" w:color="auto"/>
              <w:bottom w:val="single" w:sz="4" w:space="0" w:color="auto"/>
              <w:right w:val="single" w:sz="4" w:space="0" w:color="auto"/>
            </w:tcBorders>
            <w:shd w:val="clear" w:color="000000" w:fill="D9D9D9"/>
            <w:vAlign w:val="center"/>
            <w:hideMark/>
          </w:tcPr>
          <w:p w14:paraId="631B700C"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Waste M</w:t>
            </w:r>
            <w:r>
              <w:rPr>
                <w:rFonts w:eastAsia="Times New Roman" w:cs="Arial"/>
                <w:b/>
                <w:bCs/>
                <w:sz w:val="20"/>
                <w:szCs w:val="20"/>
                <w:lang w:eastAsia="en-GB"/>
              </w:rPr>
              <w:t>anagement</w:t>
            </w:r>
          </w:p>
        </w:tc>
        <w:tc>
          <w:tcPr>
            <w:tcW w:w="1032" w:type="dxa"/>
            <w:tcBorders>
              <w:top w:val="nil"/>
              <w:left w:val="nil"/>
              <w:bottom w:val="single" w:sz="4" w:space="0" w:color="auto"/>
              <w:right w:val="single" w:sz="4" w:space="0" w:color="auto"/>
            </w:tcBorders>
            <w:shd w:val="clear" w:color="000000" w:fill="D9D9D9"/>
            <w:vAlign w:val="center"/>
            <w:hideMark/>
          </w:tcPr>
          <w:p w14:paraId="2EA65CF1"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65.957</w:t>
            </w:r>
          </w:p>
        </w:tc>
        <w:tc>
          <w:tcPr>
            <w:tcW w:w="1032" w:type="dxa"/>
            <w:tcBorders>
              <w:top w:val="nil"/>
              <w:left w:val="nil"/>
              <w:bottom w:val="single" w:sz="4" w:space="0" w:color="auto"/>
              <w:right w:val="single" w:sz="4" w:space="0" w:color="auto"/>
            </w:tcBorders>
            <w:shd w:val="clear" w:color="000000" w:fill="D9D9D9"/>
            <w:vAlign w:val="center"/>
            <w:hideMark/>
          </w:tcPr>
          <w:p w14:paraId="3F48688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63.917</w:t>
            </w:r>
          </w:p>
        </w:tc>
        <w:tc>
          <w:tcPr>
            <w:tcW w:w="1032" w:type="dxa"/>
            <w:tcBorders>
              <w:top w:val="nil"/>
              <w:left w:val="nil"/>
              <w:bottom w:val="single" w:sz="4" w:space="0" w:color="auto"/>
              <w:right w:val="single" w:sz="4" w:space="0" w:color="auto"/>
            </w:tcBorders>
            <w:shd w:val="clear" w:color="000000" w:fill="D9D9D9"/>
            <w:vAlign w:val="center"/>
            <w:hideMark/>
          </w:tcPr>
          <w:p w14:paraId="57E01C1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-2.040</w:t>
            </w:r>
          </w:p>
        </w:tc>
        <w:tc>
          <w:tcPr>
            <w:tcW w:w="904" w:type="dxa"/>
            <w:tcBorders>
              <w:top w:val="nil"/>
              <w:left w:val="nil"/>
              <w:bottom w:val="single" w:sz="4" w:space="0" w:color="auto"/>
              <w:right w:val="single" w:sz="4" w:space="0" w:color="auto"/>
            </w:tcBorders>
            <w:shd w:val="clear" w:color="000000" w:fill="D9D9D9"/>
            <w:vAlign w:val="center"/>
            <w:hideMark/>
          </w:tcPr>
          <w:p w14:paraId="4BA1F4D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-3.09%</w:t>
            </w:r>
          </w:p>
        </w:tc>
        <w:tc>
          <w:tcPr>
            <w:tcW w:w="828" w:type="dxa"/>
            <w:tcBorders>
              <w:top w:val="nil"/>
              <w:left w:val="nil"/>
              <w:bottom w:val="single" w:sz="4" w:space="0" w:color="auto"/>
              <w:right w:val="single" w:sz="4" w:space="0" w:color="auto"/>
            </w:tcBorders>
            <w:shd w:val="clear" w:color="000000" w:fill="D9D9D9"/>
            <w:vAlign w:val="center"/>
            <w:hideMark/>
          </w:tcPr>
          <w:p w14:paraId="1F3AEA8C"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-2.309</w:t>
            </w:r>
          </w:p>
        </w:tc>
      </w:tr>
    </w:tbl>
    <w:p w14:paraId="11E57121" w14:textId="77777777" w:rsidR="00D10794" w:rsidRDefault="00D10794" w:rsidP="00D10794">
      <w:pPr>
        <w:spacing w:after="0"/>
        <w:rPr>
          <w:rFonts w:eastAsia="Times New Roman" w:cs="Arial"/>
          <w:b/>
          <w:highlight w:val="yellow"/>
          <w:lang w:eastAsia="en-GB"/>
        </w:rPr>
      </w:pPr>
    </w:p>
    <w:p w14:paraId="2A31C7AC" w14:textId="77777777" w:rsidR="00D10794" w:rsidRPr="007373D5" w:rsidRDefault="00D10794" w:rsidP="00D10794">
      <w:pPr>
        <w:spacing w:after="0"/>
        <w:contextualSpacing/>
        <w:rPr>
          <w:rFonts w:cs="Arial"/>
          <w:b/>
        </w:rPr>
      </w:pPr>
      <w:r w:rsidRPr="007373D5">
        <w:rPr>
          <w:rFonts w:cs="Arial"/>
          <w:b/>
        </w:rPr>
        <w:t>Waste Management – underspend £2.040m</w:t>
      </w:r>
    </w:p>
    <w:p w14:paraId="52C5CC4D" w14:textId="3AD03BFD" w:rsidR="00D10794" w:rsidRPr="004A0017" w:rsidRDefault="00D10794" w:rsidP="00D10794">
      <w:pPr>
        <w:spacing w:after="0"/>
        <w:rPr>
          <w:rFonts w:cs="Arial"/>
        </w:rPr>
      </w:pPr>
      <w:r>
        <w:rPr>
          <w:rFonts w:cs="Arial"/>
        </w:rPr>
        <w:t xml:space="preserve">Throughout 2020/21 </w:t>
      </w:r>
      <w:r w:rsidRPr="004A0017">
        <w:rPr>
          <w:rFonts w:cs="Arial"/>
        </w:rPr>
        <w:t xml:space="preserve">we have seen a different composition of residual waste being collected. Tonnage collected at households </w:t>
      </w:r>
      <w:r>
        <w:rPr>
          <w:rFonts w:cs="Arial"/>
        </w:rPr>
        <w:t>were</w:t>
      </w:r>
      <w:r w:rsidRPr="004A0017">
        <w:rPr>
          <w:rFonts w:cs="Arial"/>
        </w:rPr>
        <w:t xml:space="preserve"> significantly higher than would normally be expected.  However, there has been a reduction in trade waste collected due to businesses being closed, and a much reduced tonnage collected at household waste recycling centres which were also closed for most of April and May in line with government guidance and </w:t>
      </w:r>
      <w:r>
        <w:rPr>
          <w:rFonts w:cs="Arial"/>
        </w:rPr>
        <w:t>when reopened</w:t>
      </w:r>
      <w:r w:rsidRPr="004A0017">
        <w:rPr>
          <w:rFonts w:cs="Arial"/>
        </w:rPr>
        <w:t xml:space="preserve"> operat</w:t>
      </w:r>
      <w:r>
        <w:rPr>
          <w:rFonts w:cs="Arial"/>
        </w:rPr>
        <w:t>ed</w:t>
      </w:r>
      <w:r w:rsidRPr="004A0017">
        <w:rPr>
          <w:rFonts w:cs="Arial"/>
        </w:rPr>
        <w:t xml:space="preserve"> with reduced capacity to ensure social distancing </w:t>
      </w:r>
      <w:r>
        <w:rPr>
          <w:rFonts w:cs="Arial"/>
        </w:rPr>
        <w:t>was</w:t>
      </w:r>
      <w:r w:rsidRPr="004A0017">
        <w:rPr>
          <w:rFonts w:cs="Arial"/>
        </w:rPr>
        <w:t xml:space="preserve"> maintained. </w:t>
      </w:r>
      <w:r>
        <w:rPr>
          <w:rFonts w:cs="Arial"/>
        </w:rPr>
        <w:t>Overall residual waste is 6%</w:t>
      </w:r>
      <w:r w:rsidRPr="004A0017">
        <w:rPr>
          <w:rFonts w:cs="Arial"/>
        </w:rPr>
        <w:t xml:space="preserve"> higher this year compared to last year. </w:t>
      </w:r>
    </w:p>
    <w:p w14:paraId="093B965E" w14:textId="77777777" w:rsidR="00D10794" w:rsidRPr="00BC70A2" w:rsidRDefault="00D10794" w:rsidP="00D10794">
      <w:pPr>
        <w:spacing w:after="0"/>
        <w:contextualSpacing/>
        <w:rPr>
          <w:rFonts w:cs="Arial"/>
          <w:highlight w:val="green"/>
        </w:rPr>
      </w:pPr>
    </w:p>
    <w:p w14:paraId="4E04594F" w14:textId="77777777" w:rsidR="00D10794" w:rsidRPr="004A0017" w:rsidRDefault="00D10794" w:rsidP="00D10794">
      <w:pPr>
        <w:spacing w:after="0"/>
        <w:rPr>
          <w:rFonts w:cs="Arial"/>
        </w:rPr>
      </w:pPr>
      <w:r>
        <w:rPr>
          <w:rFonts w:cs="Arial"/>
        </w:rPr>
        <w:t>U</w:t>
      </w:r>
      <w:r w:rsidRPr="004A0017">
        <w:rPr>
          <w:rFonts w:cs="Arial"/>
        </w:rPr>
        <w:t>nderspends of £</w:t>
      </w:r>
      <w:r>
        <w:rPr>
          <w:rFonts w:cs="Arial"/>
        </w:rPr>
        <w:t>2</w:t>
      </w:r>
      <w:r w:rsidRPr="004A0017">
        <w:rPr>
          <w:rFonts w:cs="Arial"/>
        </w:rPr>
        <w:t>.</w:t>
      </w:r>
      <w:r>
        <w:rPr>
          <w:rFonts w:cs="Arial"/>
        </w:rPr>
        <w:t>224</w:t>
      </w:r>
      <w:r w:rsidRPr="004A0017">
        <w:rPr>
          <w:rFonts w:cs="Arial"/>
        </w:rPr>
        <w:t xml:space="preserve">m </w:t>
      </w:r>
      <w:r>
        <w:rPr>
          <w:rFonts w:cs="Arial"/>
        </w:rPr>
        <w:t>relate to</w:t>
      </w:r>
      <w:r w:rsidRPr="004A0017">
        <w:rPr>
          <w:rFonts w:cs="Arial"/>
        </w:rPr>
        <w:t xml:space="preserve"> HWRCs which were closed for the first part of the year and since reopen</w:t>
      </w:r>
      <w:r>
        <w:rPr>
          <w:rFonts w:cs="Arial"/>
        </w:rPr>
        <w:t>ed</w:t>
      </w:r>
      <w:r w:rsidRPr="004A0017">
        <w:rPr>
          <w:rFonts w:cs="Arial"/>
        </w:rPr>
        <w:t xml:space="preserve"> tonnages have remained lower that ordinarily expected which has had a significant impact on costs predominantly reduced transport costs. </w:t>
      </w:r>
    </w:p>
    <w:p w14:paraId="17E2F847" w14:textId="77777777" w:rsidR="00D10794" w:rsidRPr="00BC70A2" w:rsidRDefault="00D10794" w:rsidP="00D10794">
      <w:pPr>
        <w:spacing w:after="0"/>
        <w:contextualSpacing/>
        <w:rPr>
          <w:rFonts w:cs="Arial"/>
          <w:highlight w:val="green"/>
        </w:rPr>
      </w:pPr>
    </w:p>
    <w:p w14:paraId="795B87B1" w14:textId="77777777" w:rsidR="00D10794" w:rsidRPr="004A0017" w:rsidRDefault="00D10794" w:rsidP="00D10794">
      <w:pPr>
        <w:spacing w:after="0"/>
        <w:rPr>
          <w:rFonts w:cs="Arial"/>
        </w:rPr>
      </w:pPr>
      <w:r>
        <w:rPr>
          <w:rFonts w:cs="Arial"/>
        </w:rPr>
        <w:t>Reductions in</w:t>
      </w:r>
      <w:r w:rsidRPr="004A0017">
        <w:rPr>
          <w:rFonts w:cs="Arial"/>
        </w:rPr>
        <w:t xml:space="preserve"> trade</w:t>
      </w:r>
      <w:r>
        <w:rPr>
          <w:rFonts w:cs="Arial"/>
        </w:rPr>
        <w:t xml:space="preserve"> waste</w:t>
      </w:r>
      <w:r w:rsidRPr="004A0017">
        <w:rPr>
          <w:rFonts w:cs="Arial"/>
        </w:rPr>
        <w:t xml:space="preserve"> result</w:t>
      </w:r>
      <w:r>
        <w:rPr>
          <w:rFonts w:cs="Arial"/>
        </w:rPr>
        <w:t>ed</w:t>
      </w:r>
      <w:r w:rsidRPr="004A0017">
        <w:rPr>
          <w:rFonts w:cs="Arial"/>
        </w:rPr>
        <w:t xml:space="preserve"> in lower than budgeted income of £</w:t>
      </w:r>
      <w:r>
        <w:rPr>
          <w:rFonts w:cs="Arial"/>
        </w:rPr>
        <w:t>398</w:t>
      </w:r>
      <w:r w:rsidRPr="004A0017">
        <w:rPr>
          <w:rFonts w:cs="Arial"/>
        </w:rPr>
        <w:t>,000.</w:t>
      </w:r>
    </w:p>
    <w:p w14:paraId="47719194" w14:textId="77777777" w:rsidR="00D10794" w:rsidRPr="00234AAB" w:rsidRDefault="00D10794" w:rsidP="00D10794">
      <w:pPr>
        <w:spacing w:after="0"/>
        <w:contextualSpacing/>
        <w:rPr>
          <w:rFonts w:cs="Arial"/>
        </w:rPr>
      </w:pPr>
    </w:p>
    <w:p w14:paraId="6AEAB367" w14:textId="77777777" w:rsidR="00D10794" w:rsidRPr="00234AAB" w:rsidRDefault="00D10794" w:rsidP="00D10794">
      <w:pPr>
        <w:spacing w:after="0"/>
        <w:contextualSpacing/>
        <w:rPr>
          <w:rFonts w:cs="Arial"/>
        </w:rPr>
      </w:pPr>
      <w:r w:rsidRPr="00234AAB">
        <w:rPr>
          <w:rFonts w:cs="Arial"/>
        </w:rPr>
        <w:t>Overspends of £2.831m relate to waste disposal costs</w:t>
      </w:r>
      <w:r>
        <w:rPr>
          <w:rFonts w:cs="Arial"/>
        </w:rPr>
        <w:t xml:space="preserve"> due to the increased volume of waste</w:t>
      </w:r>
      <w:r w:rsidRPr="00234AAB">
        <w:rPr>
          <w:rFonts w:cs="Arial"/>
        </w:rPr>
        <w:t xml:space="preserve">, these </w:t>
      </w:r>
      <w:r>
        <w:rPr>
          <w:rFonts w:cs="Arial"/>
        </w:rPr>
        <w:t>were</w:t>
      </w:r>
      <w:r w:rsidRPr="00234AAB">
        <w:rPr>
          <w:rFonts w:cs="Arial"/>
        </w:rPr>
        <w:t xml:space="preserve"> offset by underspends within the waste company, insurance costs and other minor underspends. </w:t>
      </w:r>
    </w:p>
    <w:p w14:paraId="48F1720D" w14:textId="77777777" w:rsidR="00D10794" w:rsidRPr="00BC70A2" w:rsidRDefault="00D10794" w:rsidP="00D10794">
      <w:pPr>
        <w:spacing w:after="0"/>
        <w:rPr>
          <w:rFonts w:cs="Arial"/>
          <w:b/>
          <w:highlight w:val="green"/>
          <w:u w:val="single"/>
        </w:rPr>
      </w:pPr>
    </w:p>
    <w:p w14:paraId="71B12B78" w14:textId="77777777" w:rsidR="00D10794" w:rsidRDefault="00D10794" w:rsidP="00D10794">
      <w:pPr>
        <w:spacing w:after="0"/>
        <w:contextualSpacing/>
        <w:rPr>
          <w:rFonts w:cs="Arial"/>
        </w:rPr>
      </w:pPr>
      <w:r w:rsidRPr="00234AAB">
        <w:rPr>
          <w:rFonts w:cs="Arial"/>
        </w:rPr>
        <w:t xml:space="preserve">Waste management has been apportioned £2.302m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34DD9720" w14:textId="77777777" w:rsidR="00D10794" w:rsidRDefault="00D10794" w:rsidP="00D10794">
      <w:pPr>
        <w:spacing w:after="0"/>
        <w:rPr>
          <w:rFonts w:eastAsia="Times New Roman" w:cs="Arial"/>
          <w:b/>
          <w:highlight w:val="yellow"/>
          <w:lang w:eastAsia="en-GB"/>
        </w:rPr>
      </w:pPr>
    </w:p>
    <w:p w14:paraId="33FB7C45" w14:textId="77777777" w:rsidR="00D10794" w:rsidRDefault="00D10794" w:rsidP="00D10794">
      <w:pPr>
        <w:spacing w:after="0"/>
        <w:rPr>
          <w:rFonts w:eastAsia="Times New Roman" w:cs="Arial"/>
          <w:b/>
          <w:highlight w:val="yellow"/>
          <w:lang w:eastAsia="en-GB"/>
        </w:rPr>
      </w:pPr>
    </w:p>
    <w:p w14:paraId="51DB2E25" w14:textId="77777777" w:rsidR="00D10794" w:rsidRDefault="00D10794" w:rsidP="00D10794">
      <w:pPr>
        <w:spacing w:after="0"/>
        <w:rPr>
          <w:rFonts w:eastAsia="Times New Roman" w:cs="Arial"/>
          <w:b/>
          <w:highlight w:val="yellow"/>
          <w:lang w:eastAsia="en-GB"/>
        </w:rPr>
      </w:pPr>
    </w:p>
    <w:p w14:paraId="60861B6E" w14:textId="77777777" w:rsidR="00D10794" w:rsidRDefault="00D10794" w:rsidP="00D10794">
      <w:pPr>
        <w:spacing w:after="0"/>
        <w:rPr>
          <w:rFonts w:eastAsia="Times New Roman" w:cs="Arial"/>
          <w:b/>
          <w:highlight w:val="yellow"/>
          <w:lang w:eastAsia="en-GB"/>
        </w:rPr>
      </w:pPr>
    </w:p>
    <w:p w14:paraId="13D72A93" w14:textId="77777777" w:rsidR="00D10794" w:rsidRDefault="00D10794" w:rsidP="00D10794">
      <w:pPr>
        <w:spacing w:after="0"/>
        <w:rPr>
          <w:rFonts w:eastAsia="Times New Roman" w:cs="Arial"/>
          <w:b/>
          <w:highlight w:val="yellow"/>
          <w:lang w:eastAsia="en-GB"/>
        </w:rPr>
      </w:pPr>
    </w:p>
    <w:p w14:paraId="4088F430" w14:textId="77777777" w:rsidR="00D10794" w:rsidRDefault="00D10794" w:rsidP="00D10794">
      <w:pPr>
        <w:spacing w:after="0"/>
        <w:rPr>
          <w:rFonts w:eastAsia="Times New Roman" w:cs="Arial"/>
          <w:b/>
          <w:highlight w:val="yellow"/>
          <w:lang w:eastAsia="en-GB"/>
        </w:rPr>
      </w:pPr>
    </w:p>
    <w:p w14:paraId="610CA469" w14:textId="77777777" w:rsidR="00D10794" w:rsidRDefault="00D10794" w:rsidP="00D10794">
      <w:pPr>
        <w:spacing w:after="0"/>
        <w:rPr>
          <w:rFonts w:eastAsia="Times New Roman" w:cs="Arial"/>
          <w:b/>
          <w:highlight w:val="yellow"/>
          <w:lang w:eastAsia="en-GB"/>
        </w:rPr>
      </w:pPr>
    </w:p>
    <w:p w14:paraId="3D0C3B38" w14:textId="77777777" w:rsidR="00D10794" w:rsidRDefault="00D10794" w:rsidP="00D10794">
      <w:pPr>
        <w:spacing w:after="0"/>
        <w:rPr>
          <w:rFonts w:eastAsia="Times New Roman" w:cs="Arial"/>
          <w:b/>
          <w:highlight w:val="yellow"/>
          <w:lang w:eastAsia="en-GB"/>
        </w:rPr>
      </w:pPr>
    </w:p>
    <w:p w14:paraId="19489C7A" w14:textId="77777777" w:rsidR="00D10794" w:rsidRDefault="00D10794" w:rsidP="00D10794">
      <w:pPr>
        <w:spacing w:after="0"/>
        <w:rPr>
          <w:rFonts w:eastAsia="Times New Roman" w:cs="Arial"/>
          <w:b/>
          <w:highlight w:val="yellow"/>
          <w:lang w:eastAsia="en-GB"/>
        </w:rPr>
      </w:pPr>
    </w:p>
    <w:p w14:paraId="11A7B297" w14:textId="77777777" w:rsidR="00D10794" w:rsidRDefault="00D10794" w:rsidP="00D10794">
      <w:pPr>
        <w:spacing w:after="0"/>
        <w:rPr>
          <w:rFonts w:eastAsia="Times New Roman" w:cs="Arial"/>
          <w:b/>
          <w:highlight w:val="yellow"/>
          <w:lang w:eastAsia="en-GB"/>
        </w:rPr>
      </w:pPr>
    </w:p>
    <w:p w14:paraId="697AFC28" w14:textId="77777777" w:rsidR="00D10794" w:rsidRDefault="00D10794" w:rsidP="00D10794">
      <w:pPr>
        <w:spacing w:after="0"/>
        <w:rPr>
          <w:rFonts w:eastAsia="Times New Roman" w:cs="Arial"/>
          <w:b/>
          <w:highlight w:val="yellow"/>
          <w:lang w:eastAsia="en-GB"/>
        </w:rPr>
      </w:pPr>
    </w:p>
    <w:p w14:paraId="2E28784D" w14:textId="77777777" w:rsidR="00D10794" w:rsidRDefault="00D10794" w:rsidP="00D10794">
      <w:pPr>
        <w:spacing w:after="0"/>
        <w:rPr>
          <w:rFonts w:eastAsia="Times New Roman" w:cs="Arial"/>
          <w:b/>
          <w:highlight w:val="yellow"/>
          <w:lang w:eastAsia="en-GB"/>
        </w:rPr>
      </w:pPr>
    </w:p>
    <w:p w14:paraId="619BFFC8" w14:textId="77777777" w:rsidR="00D10794" w:rsidRDefault="00D10794" w:rsidP="00D10794">
      <w:pPr>
        <w:spacing w:after="0"/>
        <w:rPr>
          <w:rFonts w:eastAsia="Times New Roman" w:cs="Arial"/>
          <w:b/>
          <w:highlight w:val="yellow"/>
          <w:lang w:eastAsia="en-GB"/>
        </w:rPr>
      </w:pPr>
    </w:p>
    <w:p w14:paraId="38B08561" w14:textId="77777777" w:rsidR="00D10794" w:rsidRDefault="00D10794" w:rsidP="00D10794">
      <w:pPr>
        <w:spacing w:after="0"/>
        <w:rPr>
          <w:rFonts w:eastAsia="Times New Roman" w:cs="Arial"/>
          <w:b/>
          <w:highlight w:val="yellow"/>
          <w:lang w:eastAsia="en-GB"/>
        </w:rPr>
      </w:pPr>
    </w:p>
    <w:p w14:paraId="66F9BF64" w14:textId="77777777" w:rsidR="00D10794" w:rsidRDefault="00D10794" w:rsidP="00D10794">
      <w:pPr>
        <w:spacing w:after="0"/>
        <w:rPr>
          <w:rFonts w:eastAsia="Times New Roman" w:cs="Arial"/>
          <w:b/>
          <w:highlight w:val="yellow"/>
          <w:lang w:eastAsia="en-GB"/>
        </w:rPr>
      </w:pPr>
    </w:p>
    <w:p w14:paraId="1630416A" w14:textId="77777777" w:rsidR="00D10794" w:rsidRDefault="00D10794" w:rsidP="00D10794">
      <w:pPr>
        <w:spacing w:after="0"/>
        <w:rPr>
          <w:rFonts w:eastAsia="Times New Roman" w:cs="Arial"/>
          <w:b/>
          <w:highlight w:val="yellow"/>
          <w:lang w:eastAsia="en-GB"/>
        </w:rPr>
      </w:pPr>
    </w:p>
    <w:p w14:paraId="544A2A11" w14:textId="77777777" w:rsidR="00D10794" w:rsidRDefault="00D10794" w:rsidP="00D10794">
      <w:pPr>
        <w:spacing w:after="0"/>
        <w:rPr>
          <w:rFonts w:eastAsia="Times New Roman" w:cs="Arial"/>
          <w:b/>
          <w:highlight w:val="yellow"/>
          <w:lang w:eastAsia="en-GB"/>
        </w:rPr>
      </w:pPr>
    </w:p>
    <w:p w14:paraId="3C3CAE9C" w14:textId="77777777" w:rsidR="00D10794" w:rsidRPr="00BC70A2" w:rsidRDefault="00D10794" w:rsidP="00D10794">
      <w:pPr>
        <w:spacing w:after="0"/>
        <w:rPr>
          <w:rFonts w:cs="Arial"/>
          <w:b/>
        </w:rPr>
      </w:pPr>
      <w:r w:rsidRPr="00BC70A2">
        <w:rPr>
          <w:rFonts w:eastAsia="Times New Roman" w:cs="Arial"/>
          <w:b/>
          <w:lang w:eastAsia="en-GB"/>
        </w:rPr>
        <w:lastRenderedPageBreak/>
        <w:t>3.9</w:t>
      </w:r>
      <w:r w:rsidRPr="00BC70A2">
        <w:rPr>
          <w:rFonts w:eastAsia="Times New Roman" w:cs="Arial"/>
          <w:b/>
          <w:lang w:eastAsia="en-GB"/>
        </w:rPr>
        <w:tab/>
      </w:r>
      <w:r w:rsidRPr="00BC70A2">
        <w:rPr>
          <w:rFonts w:cs="Arial"/>
          <w:b/>
        </w:rPr>
        <w:t xml:space="preserve">Finance </w:t>
      </w:r>
    </w:p>
    <w:p w14:paraId="7F0367BE" w14:textId="77777777" w:rsidR="00D10794" w:rsidRPr="00C529BF" w:rsidRDefault="00D10794" w:rsidP="00D10794">
      <w:pPr>
        <w:autoSpaceDE/>
        <w:autoSpaceDN/>
        <w:adjustRightInd/>
        <w:spacing w:after="0"/>
        <w:jc w:val="left"/>
        <w:rPr>
          <w:b/>
          <w:highlight w:val="yellow"/>
        </w:rPr>
      </w:pPr>
    </w:p>
    <w:tbl>
      <w:tblPr>
        <w:tblW w:w="8968" w:type="dxa"/>
        <w:tblLayout w:type="fixed"/>
        <w:tblLook w:val="04A0" w:firstRow="1" w:lastRow="0" w:firstColumn="1" w:lastColumn="0" w:noHBand="0" w:noVBand="1"/>
      </w:tblPr>
      <w:tblGrid>
        <w:gridCol w:w="3120"/>
        <w:gridCol w:w="1169"/>
        <w:gridCol w:w="1170"/>
        <w:gridCol w:w="1169"/>
        <w:gridCol w:w="1170"/>
        <w:gridCol w:w="1170"/>
      </w:tblGrid>
      <w:tr w:rsidR="002F12B1" w14:paraId="0BAD100F" w14:textId="77777777" w:rsidTr="00D10794">
        <w:trPr>
          <w:trHeight w:val="743"/>
        </w:trPr>
        <w:tc>
          <w:tcPr>
            <w:tcW w:w="3120" w:type="dxa"/>
            <w:tcBorders>
              <w:top w:val="single" w:sz="4" w:space="0" w:color="auto"/>
              <w:left w:val="single" w:sz="4" w:space="0" w:color="auto"/>
              <w:bottom w:val="nil"/>
              <w:right w:val="single" w:sz="4" w:space="0" w:color="auto"/>
            </w:tcBorders>
            <w:shd w:val="clear" w:color="000000" w:fill="D9D9D9"/>
            <w:vAlign w:val="center"/>
            <w:hideMark/>
          </w:tcPr>
          <w:p w14:paraId="40AFD265" w14:textId="44C630AE"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34273599"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5F3FFE4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350BDA5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22C50E6F"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7CC77A5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6E15AD20" w14:textId="77777777" w:rsidTr="00D10794">
        <w:trPr>
          <w:trHeight w:val="291"/>
        </w:trPr>
        <w:tc>
          <w:tcPr>
            <w:tcW w:w="3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4DC8A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169" w:type="dxa"/>
            <w:tcBorders>
              <w:top w:val="nil"/>
              <w:left w:val="nil"/>
              <w:bottom w:val="single" w:sz="4" w:space="0" w:color="auto"/>
              <w:right w:val="single" w:sz="4" w:space="0" w:color="auto"/>
            </w:tcBorders>
            <w:shd w:val="clear" w:color="000000" w:fill="D9D9D9"/>
            <w:vAlign w:val="center"/>
            <w:hideMark/>
          </w:tcPr>
          <w:p w14:paraId="081645F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170" w:type="dxa"/>
            <w:tcBorders>
              <w:top w:val="nil"/>
              <w:left w:val="nil"/>
              <w:bottom w:val="single" w:sz="4" w:space="0" w:color="auto"/>
              <w:right w:val="single" w:sz="4" w:space="0" w:color="auto"/>
            </w:tcBorders>
            <w:shd w:val="clear" w:color="000000" w:fill="D9D9D9"/>
            <w:vAlign w:val="center"/>
            <w:hideMark/>
          </w:tcPr>
          <w:p w14:paraId="598601A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169" w:type="dxa"/>
            <w:tcBorders>
              <w:top w:val="nil"/>
              <w:left w:val="nil"/>
              <w:bottom w:val="single" w:sz="4" w:space="0" w:color="auto"/>
              <w:right w:val="single" w:sz="4" w:space="0" w:color="auto"/>
            </w:tcBorders>
            <w:shd w:val="clear" w:color="000000" w:fill="D9D9D9"/>
            <w:vAlign w:val="center"/>
            <w:hideMark/>
          </w:tcPr>
          <w:p w14:paraId="04FA01A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170" w:type="dxa"/>
            <w:tcBorders>
              <w:top w:val="nil"/>
              <w:left w:val="nil"/>
              <w:bottom w:val="single" w:sz="4" w:space="0" w:color="auto"/>
              <w:right w:val="single" w:sz="4" w:space="0" w:color="auto"/>
            </w:tcBorders>
            <w:shd w:val="clear" w:color="000000" w:fill="D9D9D9"/>
            <w:vAlign w:val="center"/>
            <w:hideMark/>
          </w:tcPr>
          <w:p w14:paraId="061DBD3C"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1170" w:type="dxa"/>
            <w:tcBorders>
              <w:top w:val="nil"/>
              <w:left w:val="nil"/>
              <w:bottom w:val="single" w:sz="4" w:space="0" w:color="auto"/>
              <w:right w:val="single" w:sz="4" w:space="0" w:color="auto"/>
            </w:tcBorders>
            <w:shd w:val="clear" w:color="000000" w:fill="D9D9D9"/>
            <w:vAlign w:val="center"/>
            <w:hideMark/>
          </w:tcPr>
          <w:p w14:paraId="3DF1534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09961F41"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509FA401"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BTLS</w:t>
            </w:r>
          </w:p>
        </w:tc>
        <w:tc>
          <w:tcPr>
            <w:tcW w:w="1169" w:type="dxa"/>
            <w:tcBorders>
              <w:top w:val="nil"/>
              <w:left w:val="nil"/>
              <w:bottom w:val="single" w:sz="4" w:space="0" w:color="auto"/>
              <w:right w:val="single" w:sz="4" w:space="0" w:color="auto"/>
            </w:tcBorders>
            <w:shd w:val="clear" w:color="auto" w:fill="auto"/>
            <w:vAlign w:val="center"/>
            <w:hideMark/>
          </w:tcPr>
          <w:p w14:paraId="17638C1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28.505</w:t>
            </w:r>
          </w:p>
        </w:tc>
        <w:tc>
          <w:tcPr>
            <w:tcW w:w="1170" w:type="dxa"/>
            <w:tcBorders>
              <w:top w:val="nil"/>
              <w:left w:val="nil"/>
              <w:bottom w:val="single" w:sz="4" w:space="0" w:color="auto"/>
              <w:right w:val="single" w:sz="4" w:space="0" w:color="auto"/>
            </w:tcBorders>
            <w:shd w:val="clear" w:color="auto" w:fill="auto"/>
            <w:vAlign w:val="center"/>
            <w:hideMark/>
          </w:tcPr>
          <w:p w14:paraId="6102EE8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28.959</w:t>
            </w:r>
          </w:p>
        </w:tc>
        <w:tc>
          <w:tcPr>
            <w:tcW w:w="1169" w:type="dxa"/>
            <w:tcBorders>
              <w:top w:val="nil"/>
              <w:left w:val="nil"/>
              <w:bottom w:val="single" w:sz="4" w:space="0" w:color="auto"/>
              <w:right w:val="single" w:sz="4" w:space="0" w:color="auto"/>
            </w:tcBorders>
            <w:shd w:val="clear" w:color="000000" w:fill="D9D9D9"/>
            <w:vAlign w:val="center"/>
            <w:hideMark/>
          </w:tcPr>
          <w:p w14:paraId="4885A18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0.454</w:t>
            </w:r>
          </w:p>
        </w:tc>
        <w:tc>
          <w:tcPr>
            <w:tcW w:w="1170" w:type="dxa"/>
            <w:tcBorders>
              <w:top w:val="nil"/>
              <w:left w:val="nil"/>
              <w:bottom w:val="single" w:sz="4" w:space="0" w:color="auto"/>
              <w:right w:val="single" w:sz="4" w:space="0" w:color="auto"/>
            </w:tcBorders>
            <w:shd w:val="clear" w:color="auto" w:fill="auto"/>
            <w:vAlign w:val="center"/>
            <w:hideMark/>
          </w:tcPr>
          <w:p w14:paraId="4991EAB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1.59%</w:t>
            </w:r>
          </w:p>
        </w:tc>
        <w:tc>
          <w:tcPr>
            <w:tcW w:w="1170" w:type="dxa"/>
            <w:tcBorders>
              <w:top w:val="nil"/>
              <w:left w:val="nil"/>
              <w:bottom w:val="single" w:sz="4" w:space="0" w:color="auto"/>
              <w:right w:val="single" w:sz="4" w:space="0" w:color="auto"/>
            </w:tcBorders>
            <w:shd w:val="clear" w:color="000000" w:fill="D9D9D9"/>
            <w:vAlign w:val="center"/>
            <w:hideMark/>
          </w:tcPr>
          <w:p w14:paraId="7DE65D4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-0.001</w:t>
            </w:r>
          </w:p>
        </w:tc>
      </w:tr>
      <w:tr w:rsidR="002F12B1" w14:paraId="172A47B3"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5F39B0C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Lancashire Pension Fund</w:t>
            </w:r>
          </w:p>
        </w:tc>
        <w:tc>
          <w:tcPr>
            <w:tcW w:w="1169" w:type="dxa"/>
            <w:tcBorders>
              <w:top w:val="nil"/>
              <w:left w:val="nil"/>
              <w:bottom w:val="single" w:sz="4" w:space="0" w:color="auto"/>
              <w:right w:val="single" w:sz="4" w:space="0" w:color="auto"/>
            </w:tcBorders>
            <w:shd w:val="clear" w:color="auto" w:fill="auto"/>
            <w:vAlign w:val="center"/>
            <w:hideMark/>
          </w:tcPr>
          <w:p w14:paraId="43402DB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-0.001</w:t>
            </w:r>
          </w:p>
        </w:tc>
        <w:tc>
          <w:tcPr>
            <w:tcW w:w="1170" w:type="dxa"/>
            <w:tcBorders>
              <w:top w:val="nil"/>
              <w:left w:val="nil"/>
              <w:bottom w:val="single" w:sz="4" w:space="0" w:color="auto"/>
              <w:right w:val="single" w:sz="4" w:space="0" w:color="auto"/>
            </w:tcBorders>
            <w:shd w:val="clear" w:color="auto" w:fill="auto"/>
            <w:vAlign w:val="center"/>
            <w:hideMark/>
          </w:tcPr>
          <w:p w14:paraId="1026BAB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169" w:type="dxa"/>
            <w:tcBorders>
              <w:top w:val="nil"/>
              <w:left w:val="nil"/>
              <w:bottom w:val="single" w:sz="4" w:space="0" w:color="auto"/>
              <w:right w:val="single" w:sz="4" w:space="0" w:color="auto"/>
            </w:tcBorders>
            <w:shd w:val="clear" w:color="000000" w:fill="D9D9D9"/>
            <w:vAlign w:val="center"/>
            <w:hideMark/>
          </w:tcPr>
          <w:p w14:paraId="38D6EF2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0.001</w:t>
            </w:r>
          </w:p>
        </w:tc>
        <w:tc>
          <w:tcPr>
            <w:tcW w:w="1170" w:type="dxa"/>
            <w:tcBorders>
              <w:top w:val="nil"/>
              <w:left w:val="nil"/>
              <w:bottom w:val="single" w:sz="4" w:space="0" w:color="auto"/>
              <w:right w:val="single" w:sz="4" w:space="0" w:color="auto"/>
            </w:tcBorders>
            <w:shd w:val="clear" w:color="auto" w:fill="auto"/>
            <w:vAlign w:val="center"/>
            <w:hideMark/>
          </w:tcPr>
          <w:p w14:paraId="28A0923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-100.00%</w:t>
            </w:r>
          </w:p>
        </w:tc>
        <w:tc>
          <w:tcPr>
            <w:tcW w:w="1170" w:type="dxa"/>
            <w:tcBorders>
              <w:top w:val="nil"/>
              <w:left w:val="nil"/>
              <w:bottom w:val="single" w:sz="4" w:space="0" w:color="auto"/>
              <w:right w:val="single" w:sz="4" w:space="0" w:color="auto"/>
            </w:tcBorders>
            <w:shd w:val="clear" w:color="000000" w:fill="D9D9D9"/>
            <w:vAlign w:val="center"/>
            <w:hideMark/>
          </w:tcPr>
          <w:p w14:paraId="3317126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r>
      <w:tr w:rsidR="002F12B1" w14:paraId="00B79254"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4C0D53AD"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Exchequer Services</w:t>
            </w:r>
          </w:p>
        </w:tc>
        <w:tc>
          <w:tcPr>
            <w:tcW w:w="1169" w:type="dxa"/>
            <w:tcBorders>
              <w:top w:val="nil"/>
              <w:left w:val="nil"/>
              <w:bottom w:val="single" w:sz="4" w:space="0" w:color="auto"/>
              <w:right w:val="single" w:sz="4" w:space="0" w:color="auto"/>
            </w:tcBorders>
            <w:shd w:val="clear" w:color="auto" w:fill="auto"/>
            <w:vAlign w:val="center"/>
            <w:hideMark/>
          </w:tcPr>
          <w:p w14:paraId="364FEFC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3.925</w:t>
            </w:r>
          </w:p>
        </w:tc>
        <w:tc>
          <w:tcPr>
            <w:tcW w:w="1170" w:type="dxa"/>
            <w:tcBorders>
              <w:top w:val="nil"/>
              <w:left w:val="nil"/>
              <w:bottom w:val="single" w:sz="4" w:space="0" w:color="auto"/>
              <w:right w:val="single" w:sz="4" w:space="0" w:color="auto"/>
            </w:tcBorders>
            <w:shd w:val="clear" w:color="auto" w:fill="auto"/>
            <w:vAlign w:val="center"/>
            <w:hideMark/>
          </w:tcPr>
          <w:p w14:paraId="33AEC6F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3.408</w:t>
            </w:r>
          </w:p>
        </w:tc>
        <w:tc>
          <w:tcPr>
            <w:tcW w:w="1169" w:type="dxa"/>
            <w:tcBorders>
              <w:top w:val="nil"/>
              <w:left w:val="nil"/>
              <w:bottom w:val="single" w:sz="4" w:space="0" w:color="auto"/>
              <w:right w:val="single" w:sz="4" w:space="0" w:color="auto"/>
            </w:tcBorders>
            <w:shd w:val="clear" w:color="000000" w:fill="D9D9D9"/>
            <w:vAlign w:val="center"/>
            <w:hideMark/>
          </w:tcPr>
          <w:p w14:paraId="5314B10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-0.517</w:t>
            </w:r>
          </w:p>
        </w:tc>
        <w:tc>
          <w:tcPr>
            <w:tcW w:w="1170" w:type="dxa"/>
            <w:tcBorders>
              <w:top w:val="nil"/>
              <w:left w:val="nil"/>
              <w:bottom w:val="single" w:sz="4" w:space="0" w:color="auto"/>
              <w:right w:val="single" w:sz="4" w:space="0" w:color="auto"/>
            </w:tcBorders>
            <w:shd w:val="clear" w:color="auto" w:fill="auto"/>
            <w:vAlign w:val="center"/>
            <w:hideMark/>
          </w:tcPr>
          <w:p w14:paraId="5BD725B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-13.17%</w:t>
            </w:r>
          </w:p>
        </w:tc>
        <w:tc>
          <w:tcPr>
            <w:tcW w:w="1170" w:type="dxa"/>
            <w:tcBorders>
              <w:top w:val="nil"/>
              <w:left w:val="nil"/>
              <w:bottom w:val="single" w:sz="4" w:space="0" w:color="auto"/>
              <w:right w:val="single" w:sz="4" w:space="0" w:color="auto"/>
            </w:tcBorders>
            <w:shd w:val="clear" w:color="000000" w:fill="D9D9D9"/>
            <w:vAlign w:val="center"/>
            <w:hideMark/>
          </w:tcPr>
          <w:p w14:paraId="67CEB9B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-0.243</w:t>
            </w:r>
          </w:p>
        </w:tc>
      </w:tr>
      <w:tr w:rsidR="002F12B1" w14:paraId="11EF43C5"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1D7542C3"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 xml:space="preserve">Financial </w:t>
            </w:r>
            <w:proofErr w:type="spellStart"/>
            <w:r w:rsidRPr="00B90474">
              <w:rPr>
                <w:rFonts w:eastAsia="Times New Roman" w:cs="Arial"/>
                <w:b/>
                <w:bCs/>
                <w:sz w:val="20"/>
                <w:szCs w:val="20"/>
                <w:lang w:eastAsia="en-GB"/>
              </w:rPr>
              <w:t>Mgt</w:t>
            </w:r>
            <w:proofErr w:type="spellEnd"/>
            <w:r w:rsidRPr="00B90474">
              <w:rPr>
                <w:rFonts w:eastAsia="Times New Roman" w:cs="Arial"/>
                <w:b/>
                <w:bCs/>
                <w:sz w:val="20"/>
                <w:szCs w:val="20"/>
                <w:lang w:eastAsia="en-GB"/>
              </w:rPr>
              <w:t xml:space="preserve"> (Development and Schools)</w:t>
            </w:r>
          </w:p>
        </w:tc>
        <w:tc>
          <w:tcPr>
            <w:tcW w:w="1169" w:type="dxa"/>
            <w:tcBorders>
              <w:top w:val="nil"/>
              <w:left w:val="nil"/>
              <w:bottom w:val="single" w:sz="4" w:space="0" w:color="auto"/>
              <w:right w:val="single" w:sz="4" w:space="0" w:color="auto"/>
            </w:tcBorders>
            <w:shd w:val="clear" w:color="auto" w:fill="auto"/>
            <w:vAlign w:val="center"/>
            <w:hideMark/>
          </w:tcPr>
          <w:p w14:paraId="368EE6B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170" w:type="dxa"/>
            <w:tcBorders>
              <w:top w:val="nil"/>
              <w:left w:val="nil"/>
              <w:bottom w:val="single" w:sz="4" w:space="0" w:color="auto"/>
              <w:right w:val="single" w:sz="4" w:space="0" w:color="auto"/>
            </w:tcBorders>
            <w:shd w:val="clear" w:color="auto" w:fill="auto"/>
            <w:vAlign w:val="center"/>
            <w:hideMark/>
          </w:tcPr>
          <w:p w14:paraId="2334EDF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-0.118</w:t>
            </w:r>
          </w:p>
        </w:tc>
        <w:tc>
          <w:tcPr>
            <w:tcW w:w="1169" w:type="dxa"/>
            <w:tcBorders>
              <w:top w:val="nil"/>
              <w:left w:val="nil"/>
              <w:bottom w:val="single" w:sz="4" w:space="0" w:color="auto"/>
              <w:right w:val="single" w:sz="4" w:space="0" w:color="auto"/>
            </w:tcBorders>
            <w:shd w:val="clear" w:color="000000" w:fill="D9D9D9"/>
            <w:vAlign w:val="center"/>
            <w:hideMark/>
          </w:tcPr>
          <w:p w14:paraId="40997D1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-0.118</w:t>
            </w:r>
          </w:p>
        </w:tc>
        <w:tc>
          <w:tcPr>
            <w:tcW w:w="1170" w:type="dxa"/>
            <w:tcBorders>
              <w:top w:val="nil"/>
              <w:left w:val="nil"/>
              <w:bottom w:val="single" w:sz="4" w:space="0" w:color="auto"/>
              <w:right w:val="single" w:sz="4" w:space="0" w:color="auto"/>
            </w:tcBorders>
            <w:shd w:val="clear" w:color="auto" w:fill="auto"/>
            <w:vAlign w:val="center"/>
            <w:hideMark/>
          </w:tcPr>
          <w:p w14:paraId="5B618259" w14:textId="77777777" w:rsidR="00D10794" w:rsidRPr="00B90474" w:rsidRDefault="00D10794" w:rsidP="00D10794">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0.00%</w:t>
            </w:r>
          </w:p>
        </w:tc>
        <w:tc>
          <w:tcPr>
            <w:tcW w:w="1170" w:type="dxa"/>
            <w:tcBorders>
              <w:top w:val="nil"/>
              <w:left w:val="nil"/>
              <w:bottom w:val="single" w:sz="4" w:space="0" w:color="auto"/>
              <w:right w:val="single" w:sz="4" w:space="0" w:color="auto"/>
            </w:tcBorders>
            <w:shd w:val="clear" w:color="000000" w:fill="D9D9D9"/>
            <w:vAlign w:val="center"/>
            <w:hideMark/>
          </w:tcPr>
          <w:p w14:paraId="46D26EB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-0.079</w:t>
            </w:r>
          </w:p>
        </w:tc>
      </w:tr>
      <w:tr w:rsidR="002F12B1" w14:paraId="0D636BC4"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2307A0C1"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 xml:space="preserve">Financial </w:t>
            </w:r>
            <w:proofErr w:type="spellStart"/>
            <w:r w:rsidRPr="00B90474">
              <w:rPr>
                <w:rFonts w:eastAsia="Times New Roman" w:cs="Arial"/>
                <w:b/>
                <w:bCs/>
                <w:sz w:val="20"/>
                <w:szCs w:val="20"/>
                <w:lang w:eastAsia="en-GB"/>
              </w:rPr>
              <w:t>Mgt</w:t>
            </w:r>
            <w:proofErr w:type="spellEnd"/>
            <w:r w:rsidRPr="00B90474">
              <w:rPr>
                <w:rFonts w:eastAsia="Times New Roman" w:cs="Arial"/>
                <w:b/>
                <w:bCs/>
                <w:sz w:val="20"/>
                <w:szCs w:val="20"/>
                <w:lang w:eastAsia="en-GB"/>
              </w:rPr>
              <w:t xml:space="preserve"> (Operational)</w:t>
            </w:r>
          </w:p>
        </w:tc>
        <w:tc>
          <w:tcPr>
            <w:tcW w:w="1169" w:type="dxa"/>
            <w:tcBorders>
              <w:top w:val="nil"/>
              <w:left w:val="nil"/>
              <w:bottom w:val="single" w:sz="4" w:space="0" w:color="auto"/>
              <w:right w:val="single" w:sz="4" w:space="0" w:color="auto"/>
            </w:tcBorders>
            <w:shd w:val="clear" w:color="auto" w:fill="auto"/>
            <w:vAlign w:val="center"/>
            <w:hideMark/>
          </w:tcPr>
          <w:p w14:paraId="76AECAD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1.698</w:t>
            </w:r>
          </w:p>
        </w:tc>
        <w:tc>
          <w:tcPr>
            <w:tcW w:w="1170" w:type="dxa"/>
            <w:tcBorders>
              <w:top w:val="nil"/>
              <w:left w:val="nil"/>
              <w:bottom w:val="single" w:sz="4" w:space="0" w:color="auto"/>
              <w:right w:val="single" w:sz="4" w:space="0" w:color="auto"/>
            </w:tcBorders>
            <w:shd w:val="clear" w:color="auto" w:fill="auto"/>
            <w:vAlign w:val="center"/>
            <w:hideMark/>
          </w:tcPr>
          <w:p w14:paraId="2AA8022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1.621</w:t>
            </w:r>
          </w:p>
        </w:tc>
        <w:tc>
          <w:tcPr>
            <w:tcW w:w="1169" w:type="dxa"/>
            <w:tcBorders>
              <w:top w:val="nil"/>
              <w:left w:val="nil"/>
              <w:bottom w:val="single" w:sz="4" w:space="0" w:color="auto"/>
              <w:right w:val="single" w:sz="4" w:space="0" w:color="auto"/>
            </w:tcBorders>
            <w:shd w:val="clear" w:color="000000" w:fill="D9D9D9"/>
            <w:vAlign w:val="center"/>
            <w:hideMark/>
          </w:tcPr>
          <w:p w14:paraId="0A66810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-0.077</w:t>
            </w:r>
          </w:p>
        </w:tc>
        <w:tc>
          <w:tcPr>
            <w:tcW w:w="1170" w:type="dxa"/>
            <w:tcBorders>
              <w:top w:val="nil"/>
              <w:left w:val="nil"/>
              <w:bottom w:val="single" w:sz="4" w:space="0" w:color="auto"/>
              <w:right w:val="single" w:sz="4" w:space="0" w:color="auto"/>
            </w:tcBorders>
            <w:shd w:val="clear" w:color="auto" w:fill="auto"/>
            <w:vAlign w:val="center"/>
            <w:hideMark/>
          </w:tcPr>
          <w:p w14:paraId="1970EFF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-4.53%</w:t>
            </w:r>
          </w:p>
        </w:tc>
        <w:tc>
          <w:tcPr>
            <w:tcW w:w="1170" w:type="dxa"/>
            <w:tcBorders>
              <w:top w:val="nil"/>
              <w:left w:val="nil"/>
              <w:bottom w:val="single" w:sz="4" w:space="0" w:color="auto"/>
              <w:right w:val="single" w:sz="4" w:space="0" w:color="auto"/>
            </w:tcBorders>
            <w:shd w:val="clear" w:color="000000" w:fill="D9D9D9"/>
            <w:vAlign w:val="center"/>
            <w:hideMark/>
          </w:tcPr>
          <w:p w14:paraId="1CB2AB5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0.042</w:t>
            </w:r>
          </w:p>
        </w:tc>
      </w:tr>
      <w:tr w:rsidR="002F12B1" w14:paraId="2A0E7A9A"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3A2A0529"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Corporate Finance</w:t>
            </w:r>
          </w:p>
        </w:tc>
        <w:tc>
          <w:tcPr>
            <w:tcW w:w="1169" w:type="dxa"/>
            <w:tcBorders>
              <w:top w:val="nil"/>
              <w:left w:val="nil"/>
              <w:bottom w:val="single" w:sz="4" w:space="0" w:color="auto"/>
              <w:right w:val="single" w:sz="4" w:space="0" w:color="auto"/>
            </w:tcBorders>
            <w:shd w:val="clear" w:color="auto" w:fill="auto"/>
            <w:vAlign w:val="center"/>
            <w:hideMark/>
          </w:tcPr>
          <w:p w14:paraId="7914D04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7.753</w:t>
            </w:r>
          </w:p>
        </w:tc>
        <w:tc>
          <w:tcPr>
            <w:tcW w:w="1170" w:type="dxa"/>
            <w:tcBorders>
              <w:top w:val="nil"/>
              <w:left w:val="nil"/>
              <w:bottom w:val="single" w:sz="4" w:space="0" w:color="auto"/>
              <w:right w:val="single" w:sz="4" w:space="0" w:color="auto"/>
            </w:tcBorders>
            <w:shd w:val="clear" w:color="auto" w:fill="auto"/>
            <w:vAlign w:val="center"/>
            <w:hideMark/>
          </w:tcPr>
          <w:p w14:paraId="2E86501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7.719</w:t>
            </w:r>
          </w:p>
        </w:tc>
        <w:tc>
          <w:tcPr>
            <w:tcW w:w="1169" w:type="dxa"/>
            <w:tcBorders>
              <w:top w:val="nil"/>
              <w:left w:val="nil"/>
              <w:bottom w:val="single" w:sz="4" w:space="0" w:color="auto"/>
              <w:right w:val="single" w:sz="4" w:space="0" w:color="auto"/>
            </w:tcBorders>
            <w:shd w:val="clear" w:color="000000" w:fill="D9D9D9"/>
            <w:vAlign w:val="center"/>
            <w:hideMark/>
          </w:tcPr>
          <w:p w14:paraId="71BA58C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-0.034</w:t>
            </w:r>
          </w:p>
        </w:tc>
        <w:tc>
          <w:tcPr>
            <w:tcW w:w="1170" w:type="dxa"/>
            <w:tcBorders>
              <w:top w:val="nil"/>
              <w:left w:val="nil"/>
              <w:bottom w:val="single" w:sz="4" w:space="0" w:color="auto"/>
              <w:right w:val="single" w:sz="4" w:space="0" w:color="auto"/>
            </w:tcBorders>
            <w:shd w:val="clear" w:color="auto" w:fill="auto"/>
            <w:vAlign w:val="center"/>
            <w:hideMark/>
          </w:tcPr>
          <w:p w14:paraId="14ED3B9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-0.44%</w:t>
            </w:r>
          </w:p>
        </w:tc>
        <w:tc>
          <w:tcPr>
            <w:tcW w:w="1170" w:type="dxa"/>
            <w:tcBorders>
              <w:top w:val="nil"/>
              <w:left w:val="nil"/>
              <w:bottom w:val="single" w:sz="4" w:space="0" w:color="auto"/>
              <w:right w:val="single" w:sz="4" w:space="0" w:color="auto"/>
            </w:tcBorders>
            <w:shd w:val="clear" w:color="000000" w:fill="D9D9D9"/>
            <w:vAlign w:val="center"/>
            <w:hideMark/>
          </w:tcPr>
          <w:p w14:paraId="6C12D8A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-0.099</w:t>
            </w:r>
          </w:p>
        </w:tc>
      </w:tr>
      <w:tr w:rsidR="002F12B1" w14:paraId="2C736664"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08822A35"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Internal Audit</w:t>
            </w:r>
          </w:p>
        </w:tc>
        <w:tc>
          <w:tcPr>
            <w:tcW w:w="1169" w:type="dxa"/>
            <w:tcBorders>
              <w:top w:val="nil"/>
              <w:left w:val="nil"/>
              <w:bottom w:val="single" w:sz="4" w:space="0" w:color="auto"/>
              <w:right w:val="single" w:sz="4" w:space="0" w:color="auto"/>
            </w:tcBorders>
            <w:shd w:val="clear" w:color="auto" w:fill="auto"/>
            <w:vAlign w:val="center"/>
            <w:hideMark/>
          </w:tcPr>
          <w:p w14:paraId="0499F8F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0.752</w:t>
            </w:r>
          </w:p>
        </w:tc>
        <w:tc>
          <w:tcPr>
            <w:tcW w:w="1170" w:type="dxa"/>
            <w:tcBorders>
              <w:top w:val="nil"/>
              <w:left w:val="nil"/>
              <w:bottom w:val="single" w:sz="4" w:space="0" w:color="auto"/>
              <w:right w:val="single" w:sz="4" w:space="0" w:color="auto"/>
            </w:tcBorders>
            <w:shd w:val="clear" w:color="auto" w:fill="auto"/>
            <w:vAlign w:val="center"/>
            <w:hideMark/>
          </w:tcPr>
          <w:p w14:paraId="21EFE62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0.722</w:t>
            </w:r>
          </w:p>
        </w:tc>
        <w:tc>
          <w:tcPr>
            <w:tcW w:w="1169" w:type="dxa"/>
            <w:tcBorders>
              <w:top w:val="nil"/>
              <w:left w:val="nil"/>
              <w:bottom w:val="single" w:sz="4" w:space="0" w:color="auto"/>
              <w:right w:val="single" w:sz="4" w:space="0" w:color="auto"/>
            </w:tcBorders>
            <w:shd w:val="clear" w:color="000000" w:fill="D9D9D9"/>
            <w:vAlign w:val="center"/>
            <w:hideMark/>
          </w:tcPr>
          <w:p w14:paraId="0B5E482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-0.030</w:t>
            </w:r>
          </w:p>
        </w:tc>
        <w:tc>
          <w:tcPr>
            <w:tcW w:w="1170" w:type="dxa"/>
            <w:tcBorders>
              <w:top w:val="nil"/>
              <w:left w:val="nil"/>
              <w:bottom w:val="single" w:sz="4" w:space="0" w:color="auto"/>
              <w:right w:val="single" w:sz="4" w:space="0" w:color="auto"/>
            </w:tcBorders>
            <w:shd w:val="clear" w:color="auto" w:fill="auto"/>
            <w:vAlign w:val="center"/>
            <w:hideMark/>
          </w:tcPr>
          <w:p w14:paraId="3B01F68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-3.99%</w:t>
            </w:r>
          </w:p>
        </w:tc>
        <w:tc>
          <w:tcPr>
            <w:tcW w:w="1170" w:type="dxa"/>
            <w:tcBorders>
              <w:top w:val="nil"/>
              <w:left w:val="nil"/>
              <w:bottom w:val="single" w:sz="4" w:space="0" w:color="auto"/>
              <w:right w:val="single" w:sz="4" w:space="0" w:color="auto"/>
            </w:tcBorders>
            <w:shd w:val="clear" w:color="000000" w:fill="D9D9D9"/>
            <w:vAlign w:val="center"/>
            <w:hideMark/>
          </w:tcPr>
          <w:p w14:paraId="555B590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0.029</w:t>
            </w:r>
          </w:p>
        </w:tc>
      </w:tr>
      <w:tr w:rsidR="002F12B1" w14:paraId="3EDD044E"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622BE60A"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Procurement</w:t>
            </w:r>
          </w:p>
        </w:tc>
        <w:tc>
          <w:tcPr>
            <w:tcW w:w="1169" w:type="dxa"/>
            <w:tcBorders>
              <w:top w:val="nil"/>
              <w:left w:val="nil"/>
              <w:bottom w:val="single" w:sz="4" w:space="0" w:color="auto"/>
              <w:right w:val="single" w:sz="4" w:space="0" w:color="auto"/>
            </w:tcBorders>
            <w:shd w:val="clear" w:color="auto" w:fill="auto"/>
            <w:vAlign w:val="center"/>
            <w:hideMark/>
          </w:tcPr>
          <w:p w14:paraId="4924F40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1.959</w:t>
            </w:r>
          </w:p>
        </w:tc>
        <w:tc>
          <w:tcPr>
            <w:tcW w:w="1170" w:type="dxa"/>
            <w:tcBorders>
              <w:top w:val="nil"/>
              <w:left w:val="nil"/>
              <w:bottom w:val="single" w:sz="4" w:space="0" w:color="auto"/>
              <w:right w:val="single" w:sz="4" w:space="0" w:color="auto"/>
            </w:tcBorders>
            <w:shd w:val="clear" w:color="auto" w:fill="auto"/>
            <w:vAlign w:val="center"/>
            <w:hideMark/>
          </w:tcPr>
          <w:p w14:paraId="29B3C8E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1.828</w:t>
            </w:r>
          </w:p>
        </w:tc>
        <w:tc>
          <w:tcPr>
            <w:tcW w:w="1169" w:type="dxa"/>
            <w:tcBorders>
              <w:top w:val="nil"/>
              <w:left w:val="nil"/>
              <w:bottom w:val="single" w:sz="4" w:space="0" w:color="auto"/>
              <w:right w:val="single" w:sz="4" w:space="0" w:color="auto"/>
            </w:tcBorders>
            <w:shd w:val="clear" w:color="000000" w:fill="D9D9D9"/>
            <w:vAlign w:val="center"/>
            <w:hideMark/>
          </w:tcPr>
          <w:p w14:paraId="712F1D8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-0.131</w:t>
            </w:r>
          </w:p>
        </w:tc>
        <w:tc>
          <w:tcPr>
            <w:tcW w:w="1170" w:type="dxa"/>
            <w:tcBorders>
              <w:top w:val="nil"/>
              <w:left w:val="nil"/>
              <w:bottom w:val="single" w:sz="4" w:space="0" w:color="auto"/>
              <w:right w:val="single" w:sz="4" w:space="0" w:color="auto"/>
            </w:tcBorders>
            <w:shd w:val="clear" w:color="auto" w:fill="auto"/>
            <w:vAlign w:val="center"/>
            <w:hideMark/>
          </w:tcPr>
          <w:p w14:paraId="378BEB0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-6.69%</w:t>
            </w:r>
          </w:p>
        </w:tc>
        <w:tc>
          <w:tcPr>
            <w:tcW w:w="1170" w:type="dxa"/>
            <w:tcBorders>
              <w:top w:val="nil"/>
              <w:left w:val="nil"/>
              <w:bottom w:val="single" w:sz="4" w:space="0" w:color="auto"/>
              <w:right w:val="single" w:sz="4" w:space="0" w:color="auto"/>
            </w:tcBorders>
            <w:shd w:val="clear" w:color="000000" w:fill="D9D9D9"/>
            <w:vAlign w:val="center"/>
            <w:hideMark/>
          </w:tcPr>
          <w:p w14:paraId="0DC44D7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0.182</w:t>
            </w:r>
          </w:p>
        </w:tc>
      </w:tr>
      <w:tr w:rsidR="002F12B1" w14:paraId="75480938"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3FFB0D03"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169" w:type="dxa"/>
            <w:tcBorders>
              <w:top w:val="nil"/>
              <w:left w:val="nil"/>
              <w:bottom w:val="single" w:sz="4" w:space="0" w:color="auto"/>
              <w:right w:val="single" w:sz="4" w:space="0" w:color="auto"/>
            </w:tcBorders>
            <w:shd w:val="clear" w:color="000000" w:fill="D9D9D9"/>
            <w:vAlign w:val="center"/>
            <w:hideMark/>
          </w:tcPr>
          <w:p w14:paraId="1D2EFC6A"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44.591</w:t>
            </w:r>
          </w:p>
        </w:tc>
        <w:tc>
          <w:tcPr>
            <w:tcW w:w="1170" w:type="dxa"/>
            <w:tcBorders>
              <w:top w:val="nil"/>
              <w:left w:val="nil"/>
              <w:bottom w:val="single" w:sz="4" w:space="0" w:color="auto"/>
              <w:right w:val="single" w:sz="4" w:space="0" w:color="auto"/>
            </w:tcBorders>
            <w:shd w:val="clear" w:color="000000" w:fill="D9D9D9"/>
            <w:vAlign w:val="center"/>
            <w:hideMark/>
          </w:tcPr>
          <w:p w14:paraId="2E963D8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44.139</w:t>
            </w:r>
          </w:p>
        </w:tc>
        <w:tc>
          <w:tcPr>
            <w:tcW w:w="1169" w:type="dxa"/>
            <w:tcBorders>
              <w:top w:val="nil"/>
              <w:left w:val="nil"/>
              <w:bottom w:val="single" w:sz="4" w:space="0" w:color="auto"/>
              <w:right w:val="single" w:sz="4" w:space="0" w:color="auto"/>
            </w:tcBorders>
            <w:shd w:val="clear" w:color="000000" w:fill="D9D9D9"/>
            <w:vAlign w:val="center"/>
            <w:hideMark/>
          </w:tcPr>
          <w:p w14:paraId="54C462A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-0.452</w:t>
            </w:r>
          </w:p>
        </w:tc>
        <w:tc>
          <w:tcPr>
            <w:tcW w:w="1170" w:type="dxa"/>
            <w:tcBorders>
              <w:top w:val="nil"/>
              <w:left w:val="nil"/>
              <w:bottom w:val="single" w:sz="4" w:space="0" w:color="auto"/>
              <w:right w:val="single" w:sz="4" w:space="0" w:color="auto"/>
            </w:tcBorders>
            <w:shd w:val="clear" w:color="000000" w:fill="D9D9D9"/>
            <w:vAlign w:val="center"/>
            <w:hideMark/>
          </w:tcPr>
          <w:p w14:paraId="0D087F8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-1.01%</w:t>
            </w:r>
          </w:p>
        </w:tc>
        <w:tc>
          <w:tcPr>
            <w:tcW w:w="1170" w:type="dxa"/>
            <w:tcBorders>
              <w:top w:val="nil"/>
              <w:left w:val="nil"/>
              <w:bottom w:val="single" w:sz="4" w:space="0" w:color="auto"/>
              <w:right w:val="single" w:sz="4" w:space="0" w:color="auto"/>
            </w:tcBorders>
            <w:shd w:val="clear" w:color="000000" w:fill="D9D9D9"/>
            <w:vAlign w:val="center"/>
            <w:hideMark/>
          </w:tcPr>
          <w:p w14:paraId="1A10102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-0.169</w:t>
            </w:r>
          </w:p>
        </w:tc>
      </w:tr>
      <w:tr w:rsidR="002F12B1" w14:paraId="16191B58" w14:textId="77777777" w:rsidTr="00D10794">
        <w:trPr>
          <w:trHeight w:val="291"/>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6796A8DF"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169" w:type="dxa"/>
            <w:tcBorders>
              <w:top w:val="nil"/>
              <w:left w:val="nil"/>
              <w:bottom w:val="single" w:sz="4" w:space="0" w:color="auto"/>
              <w:right w:val="single" w:sz="4" w:space="0" w:color="auto"/>
            </w:tcBorders>
            <w:shd w:val="clear" w:color="auto" w:fill="auto"/>
            <w:vAlign w:val="center"/>
            <w:hideMark/>
          </w:tcPr>
          <w:p w14:paraId="19D952D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170" w:type="dxa"/>
            <w:tcBorders>
              <w:top w:val="nil"/>
              <w:left w:val="nil"/>
              <w:bottom w:val="single" w:sz="4" w:space="0" w:color="auto"/>
              <w:right w:val="single" w:sz="4" w:space="0" w:color="auto"/>
            </w:tcBorders>
            <w:shd w:val="clear" w:color="auto" w:fill="auto"/>
            <w:vAlign w:val="center"/>
            <w:hideMark/>
          </w:tcPr>
          <w:p w14:paraId="414C0E8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-0.021</w:t>
            </w:r>
          </w:p>
        </w:tc>
        <w:tc>
          <w:tcPr>
            <w:tcW w:w="1169" w:type="dxa"/>
            <w:tcBorders>
              <w:top w:val="nil"/>
              <w:left w:val="nil"/>
              <w:bottom w:val="single" w:sz="4" w:space="0" w:color="auto"/>
              <w:right w:val="single" w:sz="4" w:space="0" w:color="auto"/>
            </w:tcBorders>
            <w:shd w:val="clear" w:color="auto" w:fill="auto"/>
            <w:vAlign w:val="center"/>
            <w:hideMark/>
          </w:tcPr>
          <w:p w14:paraId="1DD5ED4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-0.021</w:t>
            </w:r>
          </w:p>
        </w:tc>
        <w:tc>
          <w:tcPr>
            <w:tcW w:w="1170" w:type="dxa"/>
            <w:tcBorders>
              <w:top w:val="nil"/>
              <w:left w:val="nil"/>
              <w:bottom w:val="single" w:sz="4" w:space="0" w:color="auto"/>
              <w:right w:val="single" w:sz="4" w:space="0" w:color="auto"/>
            </w:tcBorders>
            <w:shd w:val="clear" w:color="auto" w:fill="auto"/>
            <w:vAlign w:val="center"/>
            <w:hideMark/>
          </w:tcPr>
          <w:p w14:paraId="32FD1C1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1170" w:type="dxa"/>
            <w:tcBorders>
              <w:top w:val="nil"/>
              <w:left w:val="nil"/>
              <w:bottom w:val="single" w:sz="4" w:space="0" w:color="auto"/>
              <w:right w:val="single" w:sz="4" w:space="0" w:color="auto"/>
            </w:tcBorders>
            <w:shd w:val="clear" w:color="auto" w:fill="auto"/>
            <w:vAlign w:val="center"/>
            <w:hideMark/>
          </w:tcPr>
          <w:p w14:paraId="332B103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-0.017</w:t>
            </w:r>
          </w:p>
        </w:tc>
      </w:tr>
      <w:tr w:rsidR="002F12B1" w14:paraId="097FB391" w14:textId="77777777" w:rsidTr="00D10794">
        <w:trPr>
          <w:trHeight w:val="291"/>
        </w:trPr>
        <w:tc>
          <w:tcPr>
            <w:tcW w:w="3120" w:type="dxa"/>
            <w:tcBorders>
              <w:top w:val="nil"/>
              <w:left w:val="single" w:sz="4" w:space="0" w:color="auto"/>
              <w:bottom w:val="single" w:sz="4" w:space="0" w:color="auto"/>
              <w:right w:val="single" w:sz="4" w:space="0" w:color="auto"/>
            </w:tcBorders>
            <w:shd w:val="clear" w:color="000000" w:fill="D9D9D9"/>
            <w:vAlign w:val="center"/>
            <w:hideMark/>
          </w:tcPr>
          <w:p w14:paraId="5C3AB5E4"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Finance</w:t>
            </w:r>
          </w:p>
        </w:tc>
        <w:tc>
          <w:tcPr>
            <w:tcW w:w="1169" w:type="dxa"/>
            <w:tcBorders>
              <w:top w:val="nil"/>
              <w:left w:val="nil"/>
              <w:bottom w:val="single" w:sz="4" w:space="0" w:color="auto"/>
              <w:right w:val="single" w:sz="4" w:space="0" w:color="auto"/>
            </w:tcBorders>
            <w:shd w:val="clear" w:color="000000" w:fill="D9D9D9"/>
            <w:vAlign w:val="center"/>
            <w:hideMark/>
          </w:tcPr>
          <w:p w14:paraId="5360CB2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44.591</w:t>
            </w:r>
          </w:p>
        </w:tc>
        <w:tc>
          <w:tcPr>
            <w:tcW w:w="1170" w:type="dxa"/>
            <w:tcBorders>
              <w:top w:val="nil"/>
              <w:left w:val="nil"/>
              <w:bottom w:val="single" w:sz="4" w:space="0" w:color="auto"/>
              <w:right w:val="single" w:sz="4" w:space="0" w:color="auto"/>
            </w:tcBorders>
            <w:shd w:val="clear" w:color="000000" w:fill="D9D9D9"/>
            <w:vAlign w:val="center"/>
            <w:hideMark/>
          </w:tcPr>
          <w:p w14:paraId="435DD95A"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44.118</w:t>
            </w:r>
          </w:p>
        </w:tc>
        <w:tc>
          <w:tcPr>
            <w:tcW w:w="1169" w:type="dxa"/>
            <w:tcBorders>
              <w:top w:val="nil"/>
              <w:left w:val="nil"/>
              <w:bottom w:val="single" w:sz="4" w:space="0" w:color="auto"/>
              <w:right w:val="single" w:sz="4" w:space="0" w:color="auto"/>
            </w:tcBorders>
            <w:shd w:val="clear" w:color="000000" w:fill="D9D9D9"/>
            <w:vAlign w:val="center"/>
            <w:hideMark/>
          </w:tcPr>
          <w:p w14:paraId="0268312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-0.473</w:t>
            </w:r>
          </w:p>
        </w:tc>
        <w:tc>
          <w:tcPr>
            <w:tcW w:w="1170" w:type="dxa"/>
            <w:tcBorders>
              <w:top w:val="nil"/>
              <w:left w:val="nil"/>
              <w:bottom w:val="single" w:sz="4" w:space="0" w:color="auto"/>
              <w:right w:val="single" w:sz="4" w:space="0" w:color="auto"/>
            </w:tcBorders>
            <w:shd w:val="clear" w:color="000000" w:fill="D9D9D9"/>
            <w:vAlign w:val="center"/>
            <w:hideMark/>
          </w:tcPr>
          <w:p w14:paraId="72328EBD"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-1.06%</w:t>
            </w:r>
          </w:p>
        </w:tc>
        <w:tc>
          <w:tcPr>
            <w:tcW w:w="1170" w:type="dxa"/>
            <w:tcBorders>
              <w:top w:val="nil"/>
              <w:left w:val="nil"/>
              <w:bottom w:val="single" w:sz="4" w:space="0" w:color="auto"/>
              <w:right w:val="single" w:sz="4" w:space="0" w:color="auto"/>
            </w:tcBorders>
            <w:shd w:val="clear" w:color="000000" w:fill="D9D9D9"/>
            <w:vAlign w:val="center"/>
            <w:hideMark/>
          </w:tcPr>
          <w:p w14:paraId="189AE63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-0.186</w:t>
            </w:r>
          </w:p>
        </w:tc>
      </w:tr>
    </w:tbl>
    <w:p w14:paraId="03186964" w14:textId="77777777" w:rsidR="00D10794" w:rsidRPr="00C529BF" w:rsidRDefault="00D10794" w:rsidP="00D10794">
      <w:pPr>
        <w:autoSpaceDE/>
        <w:autoSpaceDN/>
        <w:adjustRightInd/>
        <w:spacing w:after="0"/>
        <w:jc w:val="left"/>
        <w:rPr>
          <w:b/>
          <w:highlight w:val="yellow"/>
        </w:rPr>
      </w:pPr>
    </w:p>
    <w:p w14:paraId="5A8FDF25" w14:textId="77777777" w:rsidR="00D10794" w:rsidRPr="003B7C74" w:rsidRDefault="00D10794" w:rsidP="00D10794">
      <w:pPr>
        <w:spacing w:after="0"/>
        <w:rPr>
          <w:rFonts w:cs="Arial"/>
          <w:b/>
        </w:rPr>
      </w:pPr>
      <w:r w:rsidRPr="003B7C74">
        <w:rPr>
          <w:rFonts w:cs="Arial"/>
          <w:b/>
        </w:rPr>
        <w:t xml:space="preserve">Finance - underspend £473,000 </w:t>
      </w:r>
    </w:p>
    <w:p w14:paraId="5C7062A9" w14:textId="5C1187BA" w:rsidR="00D10794" w:rsidRPr="003B7C74" w:rsidRDefault="00D10794" w:rsidP="00D10794">
      <w:pPr>
        <w:spacing w:after="0"/>
        <w:rPr>
          <w:rFonts w:cs="Arial"/>
        </w:rPr>
      </w:pPr>
      <w:r w:rsidRPr="003B7C74">
        <w:rPr>
          <w:rFonts w:cs="Arial"/>
        </w:rPr>
        <w:t xml:space="preserve">The outturn position is predominantly due to underspends reported within </w:t>
      </w:r>
      <w:r>
        <w:rPr>
          <w:rFonts w:cs="Arial"/>
        </w:rPr>
        <w:t>E</w:t>
      </w:r>
      <w:r w:rsidRPr="003B7C74">
        <w:rPr>
          <w:rFonts w:cs="Arial"/>
        </w:rPr>
        <w:t xml:space="preserve">xchequer </w:t>
      </w:r>
      <w:r>
        <w:rPr>
          <w:rFonts w:cs="Arial"/>
        </w:rPr>
        <w:t>S</w:t>
      </w:r>
      <w:r w:rsidRPr="003B7C74">
        <w:rPr>
          <w:rFonts w:cs="Arial"/>
        </w:rPr>
        <w:t>ervices with a</w:t>
      </w:r>
      <w:r>
        <w:rPr>
          <w:rFonts w:cs="Arial"/>
        </w:rPr>
        <w:t>n</w:t>
      </w:r>
      <w:r w:rsidRPr="003B7C74">
        <w:rPr>
          <w:rFonts w:cs="Arial"/>
        </w:rPr>
        <w:t xml:space="preserve"> underspend of £517,000 on employees which is mainly due to delays in recruitment because of Covid-19.</w:t>
      </w:r>
      <w:r>
        <w:rPr>
          <w:rFonts w:cs="Arial"/>
        </w:rPr>
        <w:t xml:space="preserve"> There is also an overspend within the BTLS budget due to funds being placed in reserves to support possible future costs following the transition</w:t>
      </w:r>
      <w:r w:rsidR="002A1E86">
        <w:rPr>
          <w:rFonts w:cs="Arial"/>
        </w:rPr>
        <w:t xml:space="preserve"> of the service</w:t>
      </w:r>
      <w:r>
        <w:rPr>
          <w:rFonts w:cs="Arial"/>
        </w:rPr>
        <w:t xml:space="preserve"> back to the County Council. </w:t>
      </w:r>
    </w:p>
    <w:p w14:paraId="5E85E487" w14:textId="77777777" w:rsidR="00D10794" w:rsidRPr="00BC70A2" w:rsidRDefault="00D10794" w:rsidP="00D10794">
      <w:pPr>
        <w:spacing w:after="0"/>
        <w:rPr>
          <w:rFonts w:cs="Arial"/>
          <w:highlight w:val="green"/>
        </w:rPr>
      </w:pPr>
    </w:p>
    <w:p w14:paraId="519D07E7" w14:textId="77777777" w:rsidR="00D10794" w:rsidRPr="003B7C74" w:rsidRDefault="00D10794" w:rsidP="00D10794">
      <w:pPr>
        <w:spacing w:after="0"/>
        <w:rPr>
          <w:rFonts w:cs="Arial"/>
        </w:rPr>
      </w:pPr>
      <w:r w:rsidRPr="003B7C74">
        <w:rPr>
          <w:rFonts w:cs="Arial"/>
        </w:rPr>
        <w:t xml:space="preserve">There are minor net overspends </w:t>
      </w:r>
      <w:r>
        <w:rPr>
          <w:rFonts w:cs="Arial"/>
        </w:rPr>
        <w:t>totalling</w:t>
      </w:r>
      <w:r w:rsidRPr="003B7C74">
        <w:rPr>
          <w:rFonts w:cs="Arial"/>
        </w:rPr>
        <w:t xml:space="preserve"> £4</w:t>
      </w:r>
      <w:r>
        <w:rPr>
          <w:rFonts w:cs="Arial"/>
        </w:rPr>
        <w:t>10</w:t>
      </w:r>
      <w:r w:rsidRPr="003B7C74">
        <w:rPr>
          <w:rFonts w:cs="Arial"/>
        </w:rPr>
        <w:t>,000 across the remainder of finance.</w:t>
      </w:r>
    </w:p>
    <w:p w14:paraId="1045023C" w14:textId="77777777" w:rsidR="00D10794" w:rsidRPr="003B7C74" w:rsidRDefault="00D10794" w:rsidP="00D10794">
      <w:pPr>
        <w:spacing w:after="0"/>
        <w:rPr>
          <w:rFonts w:cs="Arial"/>
        </w:rPr>
      </w:pPr>
    </w:p>
    <w:p w14:paraId="42737F0E" w14:textId="77777777" w:rsidR="00D10794" w:rsidRDefault="00D10794" w:rsidP="00D10794">
      <w:pPr>
        <w:spacing w:after="0"/>
        <w:contextualSpacing/>
        <w:rPr>
          <w:rFonts w:cs="Arial"/>
        </w:rPr>
      </w:pPr>
      <w:r w:rsidRPr="003B7C74">
        <w:rPr>
          <w:rFonts w:cs="Arial"/>
        </w:rPr>
        <w:t xml:space="preserve">Finance has been apportioned £21,000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63DE0BF5" w14:textId="77777777" w:rsidR="00D10794" w:rsidRDefault="00D10794" w:rsidP="00D10794">
      <w:pPr>
        <w:spacing w:after="0"/>
        <w:contextualSpacing/>
        <w:rPr>
          <w:rFonts w:cs="Arial"/>
        </w:rPr>
      </w:pPr>
    </w:p>
    <w:p w14:paraId="587DA7F8" w14:textId="77777777" w:rsidR="00D10794" w:rsidRDefault="00D10794" w:rsidP="00D10794">
      <w:pPr>
        <w:tabs>
          <w:tab w:val="left" w:pos="851"/>
          <w:tab w:val="left" w:pos="1418"/>
        </w:tabs>
        <w:spacing w:after="0"/>
        <w:contextualSpacing/>
        <w:rPr>
          <w:rFonts w:cs="Arial"/>
          <w:b/>
          <w:highlight w:val="yellow"/>
        </w:rPr>
      </w:pPr>
    </w:p>
    <w:p w14:paraId="67A1B97F" w14:textId="77777777" w:rsidR="00D10794" w:rsidRDefault="00D10794" w:rsidP="00D10794">
      <w:pPr>
        <w:tabs>
          <w:tab w:val="left" w:pos="851"/>
          <w:tab w:val="left" w:pos="1418"/>
        </w:tabs>
        <w:spacing w:after="0"/>
        <w:contextualSpacing/>
        <w:rPr>
          <w:rFonts w:cs="Arial"/>
          <w:b/>
          <w:highlight w:val="yellow"/>
        </w:rPr>
      </w:pPr>
    </w:p>
    <w:p w14:paraId="42562643" w14:textId="77777777" w:rsidR="00D10794" w:rsidRDefault="00D10794" w:rsidP="00D10794">
      <w:pPr>
        <w:tabs>
          <w:tab w:val="left" w:pos="851"/>
          <w:tab w:val="left" w:pos="1418"/>
        </w:tabs>
        <w:spacing w:after="0"/>
        <w:contextualSpacing/>
        <w:rPr>
          <w:rFonts w:cs="Arial"/>
          <w:b/>
          <w:highlight w:val="yellow"/>
        </w:rPr>
      </w:pPr>
    </w:p>
    <w:p w14:paraId="7E06AC1B" w14:textId="77777777" w:rsidR="00D10794" w:rsidRDefault="00D10794" w:rsidP="00D10794">
      <w:pPr>
        <w:tabs>
          <w:tab w:val="left" w:pos="851"/>
          <w:tab w:val="left" w:pos="1418"/>
        </w:tabs>
        <w:spacing w:after="0"/>
        <w:contextualSpacing/>
        <w:rPr>
          <w:rFonts w:cs="Arial"/>
          <w:b/>
          <w:highlight w:val="yellow"/>
        </w:rPr>
      </w:pPr>
    </w:p>
    <w:p w14:paraId="61058ADB" w14:textId="77777777" w:rsidR="00D10794" w:rsidRDefault="00D10794" w:rsidP="00D10794">
      <w:pPr>
        <w:tabs>
          <w:tab w:val="left" w:pos="851"/>
          <w:tab w:val="left" w:pos="1418"/>
        </w:tabs>
        <w:spacing w:after="0"/>
        <w:contextualSpacing/>
        <w:rPr>
          <w:rFonts w:cs="Arial"/>
          <w:b/>
          <w:highlight w:val="yellow"/>
        </w:rPr>
      </w:pPr>
    </w:p>
    <w:p w14:paraId="2CACE7EC" w14:textId="77777777" w:rsidR="00D10794" w:rsidRDefault="00D10794" w:rsidP="00D10794">
      <w:pPr>
        <w:tabs>
          <w:tab w:val="left" w:pos="851"/>
          <w:tab w:val="left" w:pos="1418"/>
        </w:tabs>
        <w:spacing w:after="0"/>
        <w:contextualSpacing/>
        <w:rPr>
          <w:rFonts w:cs="Arial"/>
          <w:b/>
          <w:highlight w:val="yellow"/>
        </w:rPr>
      </w:pPr>
    </w:p>
    <w:p w14:paraId="004A25F3" w14:textId="77777777" w:rsidR="00D10794" w:rsidRDefault="00D10794" w:rsidP="00D10794">
      <w:pPr>
        <w:tabs>
          <w:tab w:val="left" w:pos="851"/>
          <w:tab w:val="left" w:pos="1418"/>
        </w:tabs>
        <w:spacing w:after="0"/>
        <w:contextualSpacing/>
        <w:rPr>
          <w:rFonts w:cs="Arial"/>
          <w:b/>
          <w:highlight w:val="yellow"/>
        </w:rPr>
      </w:pPr>
    </w:p>
    <w:p w14:paraId="379E8D41" w14:textId="77777777" w:rsidR="00D10794" w:rsidRDefault="00D10794" w:rsidP="00D10794">
      <w:pPr>
        <w:tabs>
          <w:tab w:val="left" w:pos="851"/>
          <w:tab w:val="left" w:pos="1418"/>
        </w:tabs>
        <w:spacing w:after="0"/>
        <w:contextualSpacing/>
        <w:rPr>
          <w:rFonts w:cs="Arial"/>
          <w:b/>
          <w:highlight w:val="yellow"/>
        </w:rPr>
      </w:pPr>
    </w:p>
    <w:p w14:paraId="589DD65F" w14:textId="77777777" w:rsidR="00D10794" w:rsidRDefault="00D10794" w:rsidP="00D10794">
      <w:pPr>
        <w:tabs>
          <w:tab w:val="left" w:pos="851"/>
          <w:tab w:val="left" w:pos="1418"/>
        </w:tabs>
        <w:spacing w:after="0"/>
        <w:contextualSpacing/>
        <w:rPr>
          <w:rFonts w:cs="Arial"/>
          <w:b/>
          <w:highlight w:val="yellow"/>
        </w:rPr>
      </w:pPr>
    </w:p>
    <w:p w14:paraId="3A35E7FC" w14:textId="77777777" w:rsidR="00D10794" w:rsidRDefault="00D10794" w:rsidP="00D10794">
      <w:pPr>
        <w:tabs>
          <w:tab w:val="left" w:pos="851"/>
          <w:tab w:val="left" w:pos="1418"/>
        </w:tabs>
        <w:spacing w:after="0"/>
        <w:contextualSpacing/>
        <w:rPr>
          <w:rFonts w:cs="Arial"/>
          <w:b/>
          <w:highlight w:val="yellow"/>
        </w:rPr>
      </w:pPr>
    </w:p>
    <w:p w14:paraId="4111707C" w14:textId="77777777" w:rsidR="00D10794" w:rsidRDefault="00D10794" w:rsidP="00D10794">
      <w:pPr>
        <w:tabs>
          <w:tab w:val="left" w:pos="851"/>
          <w:tab w:val="left" w:pos="1418"/>
        </w:tabs>
        <w:spacing w:after="0"/>
        <w:contextualSpacing/>
        <w:rPr>
          <w:rFonts w:cs="Arial"/>
          <w:b/>
          <w:highlight w:val="yellow"/>
        </w:rPr>
      </w:pPr>
    </w:p>
    <w:p w14:paraId="551518E4" w14:textId="77777777" w:rsidR="00D10794" w:rsidRDefault="00D10794" w:rsidP="00D10794">
      <w:pPr>
        <w:tabs>
          <w:tab w:val="left" w:pos="851"/>
          <w:tab w:val="left" w:pos="1418"/>
        </w:tabs>
        <w:spacing w:after="0"/>
        <w:contextualSpacing/>
        <w:rPr>
          <w:rFonts w:cs="Arial"/>
          <w:b/>
          <w:highlight w:val="yellow"/>
        </w:rPr>
      </w:pPr>
    </w:p>
    <w:p w14:paraId="2568C67C" w14:textId="77777777" w:rsidR="00D10794" w:rsidRDefault="00D10794" w:rsidP="00D10794">
      <w:pPr>
        <w:tabs>
          <w:tab w:val="left" w:pos="851"/>
          <w:tab w:val="left" w:pos="1418"/>
        </w:tabs>
        <w:spacing w:after="0"/>
        <w:contextualSpacing/>
        <w:rPr>
          <w:rFonts w:cs="Arial"/>
          <w:b/>
          <w:highlight w:val="yellow"/>
        </w:rPr>
      </w:pPr>
    </w:p>
    <w:p w14:paraId="3F934CDA" w14:textId="77777777" w:rsidR="00D10794" w:rsidRDefault="00D10794" w:rsidP="00D10794">
      <w:pPr>
        <w:tabs>
          <w:tab w:val="left" w:pos="851"/>
          <w:tab w:val="left" w:pos="1418"/>
        </w:tabs>
        <w:spacing w:after="0"/>
        <w:contextualSpacing/>
        <w:rPr>
          <w:rFonts w:cs="Arial"/>
          <w:b/>
          <w:highlight w:val="yellow"/>
        </w:rPr>
      </w:pPr>
    </w:p>
    <w:p w14:paraId="10F81DD1" w14:textId="77777777" w:rsidR="00D10794" w:rsidRDefault="00D10794" w:rsidP="00D10794">
      <w:pPr>
        <w:tabs>
          <w:tab w:val="left" w:pos="851"/>
          <w:tab w:val="left" w:pos="1418"/>
        </w:tabs>
        <w:spacing w:after="0"/>
        <w:contextualSpacing/>
        <w:rPr>
          <w:rFonts w:cs="Arial"/>
          <w:b/>
          <w:highlight w:val="yellow"/>
        </w:rPr>
      </w:pPr>
    </w:p>
    <w:p w14:paraId="199C8D81" w14:textId="77777777" w:rsidR="00D10794" w:rsidRDefault="00D10794" w:rsidP="00D10794">
      <w:pPr>
        <w:tabs>
          <w:tab w:val="left" w:pos="851"/>
          <w:tab w:val="left" w:pos="1418"/>
        </w:tabs>
        <w:spacing w:after="0"/>
        <w:contextualSpacing/>
        <w:rPr>
          <w:rFonts w:cs="Arial"/>
          <w:b/>
          <w:highlight w:val="yellow"/>
        </w:rPr>
      </w:pPr>
    </w:p>
    <w:p w14:paraId="25ED58A5" w14:textId="77777777" w:rsidR="00D10794" w:rsidRDefault="00D10794" w:rsidP="00D10794">
      <w:pPr>
        <w:tabs>
          <w:tab w:val="left" w:pos="851"/>
          <w:tab w:val="left" w:pos="1418"/>
        </w:tabs>
        <w:spacing w:after="0"/>
        <w:contextualSpacing/>
        <w:rPr>
          <w:rFonts w:cs="Arial"/>
          <w:b/>
          <w:highlight w:val="yellow"/>
        </w:rPr>
      </w:pPr>
    </w:p>
    <w:p w14:paraId="1D6E700F" w14:textId="77777777" w:rsidR="00D10794" w:rsidRDefault="00D10794" w:rsidP="00D10794">
      <w:pPr>
        <w:tabs>
          <w:tab w:val="left" w:pos="851"/>
          <w:tab w:val="left" w:pos="1418"/>
        </w:tabs>
        <w:spacing w:after="0"/>
        <w:contextualSpacing/>
        <w:rPr>
          <w:rFonts w:cs="Arial"/>
          <w:b/>
          <w:highlight w:val="yellow"/>
        </w:rPr>
      </w:pPr>
    </w:p>
    <w:p w14:paraId="30CDB92E" w14:textId="77777777" w:rsidR="00D10794" w:rsidRDefault="00D10794" w:rsidP="00D10794">
      <w:pPr>
        <w:tabs>
          <w:tab w:val="left" w:pos="851"/>
          <w:tab w:val="left" w:pos="1418"/>
        </w:tabs>
        <w:spacing w:after="0"/>
        <w:contextualSpacing/>
        <w:rPr>
          <w:rFonts w:cs="Arial"/>
          <w:b/>
          <w:highlight w:val="yellow"/>
        </w:rPr>
      </w:pPr>
    </w:p>
    <w:p w14:paraId="5F45E95C" w14:textId="77777777" w:rsidR="00D10794" w:rsidRPr="00C529BF" w:rsidRDefault="00D10794" w:rsidP="00D10794">
      <w:pPr>
        <w:tabs>
          <w:tab w:val="left" w:pos="851"/>
          <w:tab w:val="left" w:pos="1418"/>
        </w:tabs>
        <w:spacing w:after="0"/>
        <w:contextualSpacing/>
        <w:rPr>
          <w:rFonts w:cs="Arial"/>
          <w:b/>
          <w:highlight w:val="yellow"/>
        </w:rPr>
      </w:pPr>
    </w:p>
    <w:p w14:paraId="18164B7C" w14:textId="77777777" w:rsidR="00D10794" w:rsidRPr="00B90474" w:rsidRDefault="00D10794" w:rsidP="00D10794">
      <w:pPr>
        <w:spacing w:after="0"/>
        <w:rPr>
          <w:rFonts w:cs="Arial"/>
          <w:b/>
        </w:rPr>
      </w:pPr>
      <w:r w:rsidRPr="00B90474">
        <w:rPr>
          <w:rFonts w:eastAsia="Times New Roman" w:cs="Arial"/>
          <w:b/>
          <w:lang w:eastAsia="en-GB"/>
        </w:rPr>
        <w:lastRenderedPageBreak/>
        <w:t>3.10</w:t>
      </w:r>
      <w:r w:rsidRPr="00B90474">
        <w:rPr>
          <w:rFonts w:eastAsia="Times New Roman" w:cs="Arial"/>
          <w:b/>
          <w:lang w:eastAsia="en-GB"/>
        </w:rPr>
        <w:tab/>
      </w:r>
      <w:r w:rsidRPr="00B90474">
        <w:rPr>
          <w:rFonts w:cs="Arial"/>
          <w:b/>
        </w:rPr>
        <w:t xml:space="preserve">Corporate Services </w:t>
      </w:r>
    </w:p>
    <w:p w14:paraId="2A5A9E74" w14:textId="77777777" w:rsidR="00D10794" w:rsidRPr="00C529BF" w:rsidRDefault="00D10794" w:rsidP="00D10794">
      <w:pPr>
        <w:autoSpaceDE/>
        <w:autoSpaceDN/>
        <w:adjustRightInd/>
        <w:spacing w:after="0"/>
        <w:jc w:val="left"/>
        <w:rPr>
          <w:b/>
          <w:highlight w:val="yellow"/>
        </w:rPr>
      </w:pPr>
    </w:p>
    <w:tbl>
      <w:tblPr>
        <w:tblW w:w="9033" w:type="dxa"/>
        <w:tblLook w:val="04A0" w:firstRow="1" w:lastRow="0" w:firstColumn="1" w:lastColumn="0" w:noHBand="0" w:noVBand="1"/>
      </w:tblPr>
      <w:tblGrid>
        <w:gridCol w:w="3628"/>
        <w:gridCol w:w="1150"/>
        <w:gridCol w:w="1071"/>
        <w:gridCol w:w="1084"/>
        <w:gridCol w:w="1050"/>
        <w:gridCol w:w="1050"/>
      </w:tblGrid>
      <w:tr w:rsidR="002F12B1" w14:paraId="3ED97F71" w14:textId="77777777" w:rsidTr="00D10794">
        <w:trPr>
          <w:trHeight w:val="744"/>
        </w:trPr>
        <w:tc>
          <w:tcPr>
            <w:tcW w:w="3939" w:type="dxa"/>
            <w:tcBorders>
              <w:top w:val="single" w:sz="4" w:space="0" w:color="auto"/>
              <w:left w:val="single" w:sz="4" w:space="0" w:color="auto"/>
              <w:bottom w:val="nil"/>
              <w:right w:val="single" w:sz="4" w:space="0" w:color="auto"/>
            </w:tcBorders>
            <w:shd w:val="clear" w:color="000000" w:fill="D9D9D9"/>
            <w:vAlign w:val="center"/>
            <w:hideMark/>
          </w:tcPr>
          <w:p w14:paraId="717D89C6" w14:textId="02466D9D"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14:paraId="781B75A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14:paraId="507C6F57"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14:paraId="50C82BF4"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54" w:type="dxa"/>
            <w:tcBorders>
              <w:top w:val="single" w:sz="4" w:space="0" w:color="auto"/>
              <w:left w:val="nil"/>
              <w:bottom w:val="single" w:sz="4" w:space="0" w:color="auto"/>
              <w:right w:val="single" w:sz="4" w:space="0" w:color="auto"/>
            </w:tcBorders>
            <w:shd w:val="clear" w:color="000000" w:fill="D9D9D9"/>
            <w:vAlign w:val="center"/>
            <w:hideMark/>
          </w:tcPr>
          <w:p w14:paraId="2A4B173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14:paraId="1DC58DB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6C0B28BB"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38FAD81C"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089" w:type="dxa"/>
            <w:tcBorders>
              <w:top w:val="nil"/>
              <w:left w:val="nil"/>
              <w:bottom w:val="single" w:sz="4" w:space="0" w:color="auto"/>
              <w:right w:val="single" w:sz="4" w:space="0" w:color="auto"/>
            </w:tcBorders>
            <w:shd w:val="clear" w:color="000000" w:fill="D9D9D9"/>
            <w:vAlign w:val="center"/>
            <w:hideMark/>
          </w:tcPr>
          <w:p w14:paraId="0A417DA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14:paraId="0D7DE3C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14:paraId="31974186"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54" w:type="dxa"/>
            <w:tcBorders>
              <w:top w:val="nil"/>
              <w:left w:val="nil"/>
              <w:bottom w:val="single" w:sz="4" w:space="0" w:color="auto"/>
              <w:right w:val="single" w:sz="4" w:space="0" w:color="auto"/>
            </w:tcBorders>
            <w:shd w:val="clear" w:color="000000" w:fill="D9D9D9"/>
            <w:vAlign w:val="center"/>
            <w:hideMark/>
          </w:tcPr>
          <w:p w14:paraId="12B9866D"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73" w:type="dxa"/>
            <w:tcBorders>
              <w:top w:val="nil"/>
              <w:left w:val="nil"/>
              <w:bottom w:val="single" w:sz="4" w:space="0" w:color="auto"/>
              <w:right w:val="single" w:sz="4" w:space="0" w:color="auto"/>
            </w:tcBorders>
            <w:shd w:val="clear" w:color="000000" w:fill="D9D9D9"/>
            <w:vAlign w:val="center"/>
            <w:hideMark/>
          </w:tcPr>
          <w:p w14:paraId="7266C7C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71F45D8A"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03268F7D"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Coroner's Service</w:t>
            </w:r>
          </w:p>
        </w:tc>
        <w:tc>
          <w:tcPr>
            <w:tcW w:w="1089" w:type="dxa"/>
            <w:tcBorders>
              <w:top w:val="nil"/>
              <w:left w:val="nil"/>
              <w:bottom w:val="single" w:sz="4" w:space="0" w:color="auto"/>
              <w:right w:val="single" w:sz="4" w:space="0" w:color="auto"/>
            </w:tcBorders>
            <w:shd w:val="clear" w:color="auto" w:fill="auto"/>
            <w:vAlign w:val="center"/>
            <w:hideMark/>
          </w:tcPr>
          <w:p w14:paraId="795B642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2.466</w:t>
            </w:r>
          </w:p>
        </w:tc>
        <w:tc>
          <w:tcPr>
            <w:tcW w:w="1089" w:type="dxa"/>
            <w:tcBorders>
              <w:top w:val="nil"/>
              <w:left w:val="nil"/>
              <w:bottom w:val="single" w:sz="4" w:space="0" w:color="auto"/>
              <w:right w:val="single" w:sz="4" w:space="0" w:color="auto"/>
            </w:tcBorders>
            <w:shd w:val="clear" w:color="auto" w:fill="auto"/>
            <w:vAlign w:val="center"/>
            <w:hideMark/>
          </w:tcPr>
          <w:p w14:paraId="421D4F4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2.250</w:t>
            </w:r>
          </w:p>
        </w:tc>
        <w:tc>
          <w:tcPr>
            <w:tcW w:w="1089" w:type="dxa"/>
            <w:tcBorders>
              <w:top w:val="nil"/>
              <w:left w:val="nil"/>
              <w:bottom w:val="single" w:sz="4" w:space="0" w:color="auto"/>
              <w:right w:val="single" w:sz="4" w:space="0" w:color="auto"/>
            </w:tcBorders>
            <w:shd w:val="clear" w:color="000000" w:fill="D9D9D9"/>
            <w:vAlign w:val="center"/>
            <w:hideMark/>
          </w:tcPr>
          <w:p w14:paraId="79767EE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-0.216</w:t>
            </w:r>
          </w:p>
        </w:tc>
        <w:tc>
          <w:tcPr>
            <w:tcW w:w="954" w:type="dxa"/>
            <w:tcBorders>
              <w:top w:val="nil"/>
              <w:left w:val="nil"/>
              <w:bottom w:val="single" w:sz="4" w:space="0" w:color="auto"/>
              <w:right w:val="single" w:sz="4" w:space="0" w:color="auto"/>
            </w:tcBorders>
            <w:shd w:val="clear" w:color="auto" w:fill="auto"/>
            <w:vAlign w:val="center"/>
            <w:hideMark/>
          </w:tcPr>
          <w:p w14:paraId="51EF3B4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-8.76%</w:t>
            </w:r>
          </w:p>
        </w:tc>
        <w:tc>
          <w:tcPr>
            <w:tcW w:w="873" w:type="dxa"/>
            <w:tcBorders>
              <w:top w:val="nil"/>
              <w:left w:val="nil"/>
              <w:bottom w:val="single" w:sz="4" w:space="0" w:color="auto"/>
              <w:right w:val="single" w:sz="4" w:space="0" w:color="auto"/>
            </w:tcBorders>
            <w:shd w:val="clear" w:color="auto" w:fill="auto"/>
            <w:vAlign w:val="center"/>
            <w:hideMark/>
          </w:tcPr>
          <w:p w14:paraId="61C2319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-0.093</w:t>
            </w:r>
          </w:p>
        </w:tc>
      </w:tr>
      <w:tr w:rsidR="002F12B1" w14:paraId="413B5F37"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46B57D7B"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Human Resources</w:t>
            </w:r>
          </w:p>
        </w:tc>
        <w:tc>
          <w:tcPr>
            <w:tcW w:w="1089" w:type="dxa"/>
            <w:tcBorders>
              <w:top w:val="nil"/>
              <w:left w:val="nil"/>
              <w:bottom w:val="single" w:sz="4" w:space="0" w:color="auto"/>
              <w:right w:val="single" w:sz="4" w:space="0" w:color="auto"/>
            </w:tcBorders>
            <w:shd w:val="clear" w:color="auto" w:fill="auto"/>
            <w:vAlign w:val="center"/>
            <w:hideMark/>
          </w:tcPr>
          <w:p w14:paraId="3B9BA56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1.006</w:t>
            </w:r>
          </w:p>
        </w:tc>
        <w:tc>
          <w:tcPr>
            <w:tcW w:w="1089" w:type="dxa"/>
            <w:tcBorders>
              <w:top w:val="nil"/>
              <w:left w:val="nil"/>
              <w:bottom w:val="single" w:sz="4" w:space="0" w:color="auto"/>
              <w:right w:val="single" w:sz="4" w:space="0" w:color="auto"/>
            </w:tcBorders>
            <w:shd w:val="clear" w:color="auto" w:fill="auto"/>
            <w:vAlign w:val="center"/>
            <w:hideMark/>
          </w:tcPr>
          <w:p w14:paraId="5D24884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0.967</w:t>
            </w:r>
          </w:p>
        </w:tc>
        <w:tc>
          <w:tcPr>
            <w:tcW w:w="1089" w:type="dxa"/>
            <w:tcBorders>
              <w:top w:val="nil"/>
              <w:left w:val="nil"/>
              <w:bottom w:val="single" w:sz="4" w:space="0" w:color="auto"/>
              <w:right w:val="single" w:sz="4" w:space="0" w:color="auto"/>
            </w:tcBorders>
            <w:shd w:val="clear" w:color="000000" w:fill="D9D9D9"/>
            <w:vAlign w:val="center"/>
            <w:hideMark/>
          </w:tcPr>
          <w:p w14:paraId="5D8DDAC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-0.039</w:t>
            </w:r>
          </w:p>
        </w:tc>
        <w:tc>
          <w:tcPr>
            <w:tcW w:w="954" w:type="dxa"/>
            <w:tcBorders>
              <w:top w:val="nil"/>
              <w:left w:val="nil"/>
              <w:bottom w:val="single" w:sz="4" w:space="0" w:color="auto"/>
              <w:right w:val="single" w:sz="4" w:space="0" w:color="auto"/>
            </w:tcBorders>
            <w:shd w:val="clear" w:color="auto" w:fill="auto"/>
            <w:vAlign w:val="center"/>
            <w:hideMark/>
          </w:tcPr>
          <w:p w14:paraId="260FA25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-3.88%</w:t>
            </w:r>
          </w:p>
        </w:tc>
        <w:tc>
          <w:tcPr>
            <w:tcW w:w="873" w:type="dxa"/>
            <w:tcBorders>
              <w:top w:val="nil"/>
              <w:left w:val="nil"/>
              <w:bottom w:val="single" w:sz="4" w:space="0" w:color="auto"/>
              <w:right w:val="single" w:sz="4" w:space="0" w:color="auto"/>
            </w:tcBorders>
            <w:shd w:val="clear" w:color="auto" w:fill="auto"/>
            <w:vAlign w:val="center"/>
            <w:hideMark/>
          </w:tcPr>
          <w:p w14:paraId="40D4DD5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0.086</w:t>
            </w:r>
          </w:p>
        </w:tc>
      </w:tr>
      <w:tr w:rsidR="002F12B1" w14:paraId="6650D8E2"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1DC0A550"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Legal, Governance and Registrars</w:t>
            </w:r>
          </w:p>
        </w:tc>
        <w:tc>
          <w:tcPr>
            <w:tcW w:w="1089" w:type="dxa"/>
            <w:tcBorders>
              <w:top w:val="nil"/>
              <w:left w:val="nil"/>
              <w:bottom w:val="single" w:sz="4" w:space="0" w:color="auto"/>
              <w:right w:val="single" w:sz="4" w:space="0" w:color="auto"/>
            </w:tcBorders>
            <w:shd w:val="clear" w:color="auto" w:fill="auto"/>
            <w:vAlign w:val="center"/>
            <w:hideMark/>
          </w:tcPr>
          <w:p w14:paraId="0292A9D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12.495</w:t>
            </w:r>
          </w:p>
        </w:tc>
        <w:tc>
          <w:tcPr>
            <w:tcW w:w="1089" w:type="dxa"/>
            <w:tcBorders>
              <w:top w:val="nil"/>
              <w:left w:val="nil"/>
              <w:bottom w:val="single" w:sz="4" w:space="0" w:color="auto"/>
              <w:right w:val="single" w:sz="4" w:space="0" w:color="auto"/>
            </w:tcBorders>
            <w:shd w:val="clear" w:color="auto" w:fill="auto"/>
            <w:vAlign w:val="center"/>
            <w:hideMark/>
          </w:tcPr>
          <w:p w14:paraId="4F8B0E7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14.297</w:t>
            </w:r>
          </w:p>
        </w:tc>
        <w:tc>
          <w:tcPr>
            <w:tcW w:w="1089" w:type="dxa"/>
            <w:tcBorders>
              <w:top w:val="nil"/>
              <w:left w:val="nil"/>
              <w:bottom w:val="single" w:sz="4" w:space="0" w:color="auto"/>
              <w:right w:val="single" w:sz="4" w:space="0" w:color="auto"/>
            </w:tcBorders>
            <w:shd w:val="clear" w:color="000000" w:fill="D9D9D9"/>
            <w:vAlign w:val="center"/>
            <w:hideMark/>
          </w:tcPr>
          <w:p w14:paraId="24B62E1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1.802</w:t>
            </w:r>
          </w:p>
        </w:tc>
        <w:tc>
          <w:tcPr>
            <w:tcW w:w="954" w:type="dxa"/>
            <w:tcBorders>
              <w:top w:val="nil"/>
              <w:left w:val="nil"/>
              <w:bottom w:val="single" w:sz="4" w:space="0" w:color="auto"/>
              <w:right w:val="single" w:sz="4" w:space="0" w:color="auto"/>
            </w:tcBorders>
            <w:shd w:val="clear" w:color="auto" w:fill="auto"/>
            <w:vAlign w:val="center"/>
            <w:hideMark/>
          </w:tcPr>
          <w:p w14:paraId="7C1310C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14.42%</w:t>
            </w:r>
          </w:p>
        </w:tc>
        <w:tc>
          <w:tcPr>
            <w:tcW w:w="873" w:type="dxa"/>
            <w:tcBorders>
              <w:top w:val="nil"/>
              <w:left w:val="nil"/>
              <w:bottom w:val="single" w:sz="4" w:space="0" w:color="auto"/>
              <w:right w:val="single" w:sz="4" w:space="0" w:color="auto"/>
            </w:tcBorders>
            <w:shd w:val="clear" w:color="auto" w:fill="auto"/>
            <w:vAlign w:val="center"/>
            <w:hideMark/>
          </w:tcPr>
          <w:p w14:paraId="0278909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2.365</w:t>
            </w:r>
          </w:p>
        </w:tc>
      </w:tr>
      <w:tr w:rsidR="002F12B1" w14:paraId="5A78C0FE"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469D4DFD"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Skills Learning &amp; Development</w:t>
            </w:r>
          </w:p>
        </w:tc>
        <w:tc>
          <w:tcPr>
            <w:tcW w:w="1089" w:type="dxa"/>
            <w:tcBorders>
              <w:top w:val="nil"/>
              <w:left w:val="nil"/>
              <w:bottom w:val="single" w:sz="4" w:space="0" w:color="auto"/>
              <w:right w:val="single" w:sz="4" w:space="0" w:color="auto"/>
            </w:tcBorders>
            <w:shd w:val="clear" w:color="auto" w:fill="auto"/>
            <w:vAlign w:val="center"/>
            <w:hideMark/>
          </w:tcPr>
          <w:p w14:paraId="1BC5C55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2.838</w:t>
            </w:r>
          </w:p>
        </w:tc>
        <w:tc>
          <w:tcPr>
            <w:tcW w:w="1089" w:type="dxa"/>
            <w:tcBorders>
              <w:top w:val="nil"/>
              <w:left w:val="nil"/>
              <w:bottom w:val="single" w:sz="4" w:space="0" w:color="auto"/>
              <w:right w:val="single" w:sz="4" w:space="0" w:color="auto"/>
            </w:tcBorders>
            <w:shd w:val="clear" w:color="auto" w:fill="auto"/>
            <w:vAlign w:val="center"/>
            <w:hideMark/>
          </w:tcPr>
          <w:p w14:paraId="0D31748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3.275</w:t>
            </w:r>
          </w:p>
        </w:tc>
        <w:tc>
          <w:tcPr>
            <w:tcW w:w="1089" w:type="dxa"/>
            <w:tcBorders>
              <w:top w:val="nil"/>
              <w:left w:val="nil"/>
              <w:bottom w:val="single" w:sz="4" w:space="0" w:color="auto"/>
              <w:right w:val="single" w:sz="4" w:space="0" w:color="auto"/>
            </w:tcBorders>
            <w:shd w:val="clear" w:color="000000" w:fill="D9D9D9"/>
            <w:vAlign w:val="center"/>
            <w:hideMark/>
          </w:tcPr>
          <w:p w14:paraId="3D51110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0.437</w:t>
            </w:r>
          </w:p>
        </w:tc>
        <w:tc>
          <w:tcPr>
            <w:tcW w:w="954" w:type="dxa"/>
            <w:tcBorders>
              <w:top w:val="nil"/>
              <w:left w:val="nil"/>
              <w:bottom w:val="single" w:sz="4" w:space="0" w:color="auto"/>
              <w:right w:val="single" w:sz="4" w:space="0" w:color="auto"/>
            </w:tcBorders>
            <w:shd w:val="clear" w:color="auto" w:fill="auto"/>
            <w:vAlign w:val="center"/>
            <w:hideMark/>
          </w:tcPr>
          <w:p w14:paraId="6A07F2A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15.40%</w:t>
            </w:r>
          </w:p>
        </w:tc>
        <w:tc>
          <w:tcPr>
            <w:tcW w:w="873" w:type="dxa"/>
            <w:tcBorders>
              <w:top w:val="nil"/>
              <w:left w:val="nil"/>
              <w:bottom w:val="single" w:sz="4" w:space="0" w:color="auto"/>
              <w:right w:val="single" w:sz="4" w:space="0" w:color="auto"/>
            </w:tcBorders>
            <w:shd w:val="clear" w:color="auto" w:fill="auto"/>
            <w:vAlign w:val="center"/>
            <w:hideMark/>
          </w:tcPr>
          <w:p w14:paraId="4DF566E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-0.178</w:t>
            </w:r>
          </w:p>
        </w:tc>
      </w:tr>
      <w:tr w:rsidR="002F12B1" w14:paraId="48FBD4A8"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6590C8C2"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89" w:type="dxa"/>
            <w:tcBorders>
              <w:top w:val="nil"/>
              <w:left w:val="nil"/>
              <w:bottom w:val="single" w:sz="4" w:space="0" w:color="auto"/>
              <w:right w:val="single" w:sz="4" w:space="0" w:color="auto"/>
            </w:tcBorders>
            <w:shd w:val="clear" w:color="000000" w:fill="D9D9D9"/>
            <w:vAlign w:val="center"/>
            <w:hideMark/>
          </w:tcPr>
          <w:p w14:paraId="7E72974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18.805</w:t>
            </w:r>
          </w:p>
        </w:tc>
        <w:tc>
          <w:tcPr>
            <w:tcW w:w="1089" w:type="dxa"/>
            <w:tcBorders>
              <w:top w:val="nil"/>
              <w:left w:val="nil"/>
              <w:bottom w:val="single" w:sz="4" w:space="0" w:color="auto"/>
              <w:right w:val="single" w:sz="4" w:space="0" w:color="auto"/>
            </w:tcBorders>
            <w:shd w:val="clear" w:color="000000" w:fill="D9D9D9"/>
            <w:vAlign w:val="center"/>
            <w:hideMark/>
          </w:tcPr>
          <w:p w14:paraId="0D23B3E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20.789</w:t>
            </w:r>
          </w:p>
        </w:tc>
        <w:tc>
          <w:tcPr>
            <w:tcW w:w="1089" w:type="dxa"/>
            <w:tcBorders>
              <w:top w:val="nil"/>
              <w:left w:val="nil"/>
              <w:bottom w:val="single" w:sz="4" w:space="0" w:color="auto"/>
              <w:right w:val="single" w:sz="4" w:space="0" w:color="auto"/>
            </w:tcBorders>
            <w:shd w:val="clear" w:color="000000" w:fill="D9D9D9"/>
            <w:vAlign w:val="center"/>
            <w:hideMark/>
          </w:tcPr>
          <w:p w14:paraId="2DBA594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1.984</w:t>
            </w:r>
          </w:p>
        </w:tc>
        <w:tc>
          <w:tcPr>
            <w:tcW w:w="954" w:type="dxa"/>
            <w:tcBorders>
              <w:top w:val="nil"/>
              <w:left w:val="nil"/>
              <w:bottom w:val="single" w:sz="4" w:space="0" w:color="auto"/>
              <w:right w:val="single" w:sz="4" w:space="0" w:color="auto"/>
            </w:tcBorders>
            <w:shd w:val="clear" w:color="000000" w:fill="D9D9D9"/>
            <w:vAlign w:val="center"/>
            <w:hideMark/>
          </w:tcPr>
          <w:p w14:paraId="60FEB10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10.55%</w:t>
            </w:r>
          </w:p>
        </w:tc>
        <w:tc>
          <w:tcPr>
            <w:tcW w:w="873" w:type="dxa"/>
            <w:tcBorders>
              <w:top w:val="nil"/>
              <w:left w:val="nil"/>
              <w:bottom w:val="single" w:sz="4" w:space="0" w:color="auto"/>
              <w:right w:val="single" w:sz="4" w:space="0" w:color="auto"/>
            </w:tcBorders>
            <w:shd w:val="clear" w:color="000000" w:fill="D9D9D9"/>
            <w:vAlign w:val="center"/>
            <w:hideMark/>
          </w:tcPr>
          <w:p w14:paraId="25DA765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2.180</w:t>
            </w:r>
          </w:p>
        </w:tc>
      </w:tr>
      <w:tr w:rsidR="002F12B1" w14:paraId="68237D14" w14:textId="77777777" w:rsidTr="00D10794">
        <w:trPr>
          <w:trHeight w:val="292"/>
        </w:trPr>
        <w:tc>
          <w:tcPr>
            <w:tcW w:w="3939" w:type="dxa"/>
            <w:tcBorders>
              <w:top w:val="nil"/>
              <w:left w:val="single" w:sz="4" w:space="0" w:color="auto"/>
              <w:bottom w:val="single" w:sz="4" w:space="0" w:color="auto"/>
              <w:right w:val="single" w:sz="4" w:space="0" w:color="auto"/>
            </w:tcBorders>
            <w:shd w:val="clear" w:color="auto" w:fill="auto"/>
            <w:vAlign w:val="center"/>
            <w:hideMark/>
          </w:tcPr>
          <w:p w14:paraId="001A0914"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89" w:type="dxa"/>
            <w:tcBorders>
              <w:top w:val="nil"/>
              <w:left w:val="nil"/>
              <w:bottom w:val="single" w:sz="4" w:space="0" w:color="auto"/>
              <w:right w:val="single" w:sz="4" w:space="0" w:color="auto"/>
            </w:tcBorders>
            <w:shd w:val="clear" w:color="auto" w:fill="auto"/>
            <w:vAlign w:val="center"/>
            <w:hideMark/>
          </w:tcPr>
          <w:p w14:paraId="01DAE1C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89" w:type="dxa"/>
            <w:tcBorders>
              <w:top w:val="nil"/>
              <w:left w:val="nil"/>
              <w:bottom w:val="single" w:sz="4" w:space="0" w:color="auto"/>
              <w:right w:val="single" w:sz="4" w:space="0" w:color="auto"/>
            </w:tcBorders>
            <w:shd w:val="clear" w:color="auto" w:fill="auto"/>
            <w:vAlign w:val="center"/>
            <w:hideMark/>
          </w:tcPr>
          <w:p w14:paraId="4514CB9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-0.809</w:t>
            </w:r>
          </w:p>
        </w:tc>
        <w:tc>
          <w:tcPr>
            <w:tcW w:w="1089" w:type="dxa"/>
            <w:tcBorders>
              <w:top w:val="nil"/>
              <w:left w:val="nil"/>
              <w:bottom w:val="single" w:sz="4" w:space="0" w:color="auto"/>
              <w:right w:val="single" w:sz="4" w:space="0" w:color="auto"/>
            </w:tcBorders>
            <w:shd w:val="clear" w:color="auto" w:fill="auto"/>
            <w:vAlign w:val="center"/>
            <w:hideMark/>
          </w:tcPr>
          <w:p w14:paraId="49D3337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-0.809</w:t>
            </w:r>
          </w:p>
        </w:tc>
        <w:tc>
          <w:tcPr>
            <w:tcW w:w="954" w:type="dxa"/>
            <w:tcBorders>
              <w:top w:val="nil"/>
              <w:left w:val="nil"/>
              <w:bottom w:val="single" w:sz="4" w:space="0" w:color="auto"/>
              <w:right w:val="single" w:sz="4" w:space="0" w:color="auto"/>
            </w:tcBorders>
            <w:shd w:val="clear" w:color="auto" w:fill="auto"/>
            <w:vAlign w:val="center"/>
            <w:hideMark/>
          </w:tcPr>
          <w:p w14:paraId="466A2B0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73" w:type="dxa"/>
            <w:tcBorders>
              <w:top w:val="nil"/>
              <w:left w:val="nil"/>
              <w:bottom w:val="single" w:sz="4" w:space="0" w:color="auto"/>
              <w:right w:val="single" w:sz="4" w:space="0" w:color="auto"/>
            </w:tcBorders>
            <w:shd w:val="clear" w:color="auto" w:fill="auto"/>
            <w:vAlign w:val="center"/>
            <w:hideMark/>
          </w:tcPr>
          <w:p w14:paraId="7202953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-0.818</w:t>
            </w:r>
          </w:p>
        </w:tc>
      </w:tr>
      <w:tr w:rsidR="002F12B1" w14:paraId="614E81E3" w14:textId="77777777" w:rsidTr="00D10794">
        <w:trPr>
          <w:trHeight w:val="292"/>
        </w:trPr>
        <w:tc>
          <w:tcPr>
            <w:tcW w:w="3939" w:type="dxa"/>
            <w:tcBorders>
              <w:top w:val="nil"/>
              <w:left w:val="single" w:sz="4" w:space="0" w:color="auto"/>
              <w:bottom w:val="single" w:sz="4" w:space="0" w:color="auto"/>
              <w:right w:val="single" w:sz="4" w:space="0" w:color="auto"/>
            </w:tcBorders>
            <w:shd w:val="clear" w:color="000000" w:fill="D9D9D9"/>
            <w:vAlign w:val="center"/>
            <w:hideMark/>
          </w:tcPr>
          <w:p w14:paraId="34824C4C"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Corporate Services</w:t>
            </w:r>
          </w:p>
        </w:tc>
        <w:tc>
          <w:tcPr>
            <w:tcW w:w="1089" w:type="dxa"/>
            <w:tcBorders>
              <w:top w:val="nil"/>
              <w:left w:val="nil"/>
              <w:bottom w:val="single" w:sz="4" w:space="0" w:color="auto"/>
              <w:right w:val="single" w:sz="4" w:space="0" w:color="auto"/>
            </w:tcBorders>
            <w:shd w:val="clear" w:color="000000" w:fill="D9D9D9"/>
            <w:vAlign w:val="center"/>
            <w:hideMark/>
          </w:tcPr>
          <w:p w14:paraId="05B5C5E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18.805</w:t>
            </w:r>
          </w:p>
        </w:tc>
        <w:tc>
          <w:tcPr>
            <w:tcW w:w="1089" w:type="dxa"/>
            <w:tcBorders>
              <w:top w:val="nil"/>
              <w:left w:val="nil"/>
              <w:bottom w:val="single" w:sz="4" w:space="0" w:color="auto"/>
              <w:right w:val="single" w:sz="4" w:space="0" w:color="auto"/>
            </w:tcBorders>
            <w:shd w:val="clear" w:color="000000" w:fill="D9D9D9"/>
            <w:vAlign w:val="center"/>
            <w:hideMark/>
          </w:tcPr>
          <w:p w14:paraId="2975A434"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19.980</w:t>
            </w:r>
          </w:p>
        </w:tc>
        <w:tc>
          <w:tcPr>
            <w:tcW w:w="1089" w:type="dxa"/>
            <w:tcBorders>
              <w:top w:val="nil"/>
              <w:left w:val="nil"/>
              <w:bottom w:val="single" w:sz="4" w:space="0" w:color="auto"/>
              <w:right w:val="single" w:sz="4" w:space="0" w:color="auto"/>
            </w:tcBorders>
            <w:shd w:val="clear" w:color="000000" w:fill="D9D9D9"/>
            <w:vAlign w:val="center"/>
            <w:hideMark/>
          </w:tcPr>
          <w:p w14:paraId="212939B5"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1.175</w:t>
            </w:r>
          </w:p>
        </w:tc>
        <w:tc>
          <w:tcPr>
            <w:tcW w:w="954" w:type="dxa"/>
            <w:tcBorders>
              <w:top w:val="nil"/>
              <w:left w:val="nil"/>
              <w:bottom w:val="single" w:sz="4" w:space="0" w:color="auto"/>
              <w:right w:val="single" w:sz="4" w:space="0" w:color="auto"/>
            </w:tcBorders>
            <w:shd w:val="clear" w:color="000000" w:fill="D9D9D9"/>
            <w:vAlign w:val="center"/>
            <w:hideMark/>
          </w:tcPr>
          <w:p w14:paraId="45978DED"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6.25%</w:t>
            </w:r>
          </w:p>
        </w:tc>
        <w:tc>
          <w:tcPr>
            <w:tcW w:w="873" w:type="dxa"/>
            <w:tcBorders>
              <w:top w:val="nil"/>
              <w:left w:val="nil"/>
              <w:bottom w:val="single" w:sz="4" w:space="0" w:color="auto"/>
              <w:right w:val="single" w:sz="4" w:space="0" w:color="auto"/>
            </w:tcBorders>
            <w:shd w:val="clear" w:color="000000" w:fill="D9D9D9"/>
            <w:vAlign w:val="center"/>
            <w:hideMark/>
          </w:tcPr>
          <w:p w14:paraId="622C8746"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1.362</w:t>
            </w:r>
          </w:p>
        </w:tc>
      </w:tr>
    </w:tbl>
    <w:p w14:paraId="1BD9CC2A" w14:textId="77777777" w:rsidR="00D10794" w:rsidRPr="00C529BF" w:rsidRDefault="00D10794" w:rsidP="00D10794">
      <w:pPr>
        <w:autoSpaceDE/>
        <w:autoSpaceDN/>
        <w:adjustRightInd/>
        <w:spacing w:after="0"/>
        <w:jc w:val="left"/>
        <w:rPr>
          <w:b/>
          <w:highlight w:val="yellow"/>
        </w:rPr>
      </w:pPr>
    </w:p>
    <w:p w14:paraId="0D7A33EA" w14:textId="77777777" w:rsidR="00D10794" w:rsidRDefault="00D10794" w:rsidP="00D10794">
      <w:pPr>
        <w:spacing w:after="0"/>
        <w:rPr>
          <w:rFonts w:cs="Arial"/>
        </w:rPr>
      </w:pPr>
      <w:r w:rsidRPr="00AD5AE0">
        <w:rPr>
          <w:rFonts w:cs="Arial"/>
          <w:b/>
        </w:rPr>
        <w:t>Corporate Services - overspend £1.175m</w:t>
      </w:r>
      <w:r w:rsidRPr="00AD5AE0">
        <w:rPr>
          <w:rFonts w:cs="Arial"/>
        </w:rPr>
        <w:t xml:space="preserve"> </w:t>
      </w:r>
    </w:p>
    <w:p w14:paraId="24264484" w14:textId="77777777" w:rsidR="00D10794" w:rsidRPr="00AD5AE0" w:rsidRDefault="00D10794" w:rsidP="00D10794">
      <w:pPr>
        <w:spacing w:after="0"/>
        <w:rPr>
          <w:rFonts w:cs="Arial"/>
        </w:rPr>
      </w:pPr>
      <w:r>
        <w:rPr>
          <w:rFonts w:cs="Arial"/>
        </w:rPr>
        <w:t xml:space="preserve">The overspend is primarily </w:t>
      </w:r>
      <w:r w:rsidRPr="0016470C">
        <w:rPr>
          <w:rFonts w:cs="Arial"/>
        </w:rPr>
        <w:t xml:space="preserve">on Children's pre proceedings and </w:t>
      </w:r>
      <w:r w:rsidRPr="5F4D0F25">
        <w:rPr>
          <w:rFonts w:cs="Arial"/>
        </w:rPr>
        <w:t>an increase in volume</w:t>
      </w:r>
      <w:r>
        <w:rPr>
          <w:rFonts w:cs="Arial"/>
        </w:rPr>
        <w:t xml:space="preserve"> generally due to</w:t>
      </w:r>
      <w:r w:rsidRPr="5F4D0F25">
        <w:rPr>
          <w:rFonts w:cs="Arial"/>
        </w:rPr>
        <w:t xml:space="preserve">, “virtual” court hearings.  </w:t>
      </w:r>
      <w:r>
        <w:rPr>
          <w:rFonts w:cs="Arial"/>
        </w:rPr>
        <w:t xml:space="preserve">Whilst there are pressures in supporting social care, across other areas of legal services and corporate services that are some </w:t>
      </w:r>
      <w:r w:rsidRPr="00AD5AE0">
        <w:rPr>
          <w:rFonts w:cs="Arial"/>
        </w:rPr>
        <w:t xml:space="preserve">compensating variances </w:t>
      </w:r>
      <w:r>
        <w:rPr>
          <w:rFonts w:cs="Arial"/>
        </w:rPr>
        <w:t xml:space="preserve">to offset the overspend. </w:t>
      </w:r>
    </w:p>
    <w:p w14:paraId="6B1F51BE" w14:textId="77777777" w:rsidR="00D10794" w:rsidRDefault="00D10794" w:rsidP="00D10794">
      <w:pPr>
        <w:spacing w:after="0"/>
        <w:rPr>
          <w:rFonts w:cs="Arial"/>
        </w:rPr>
      </w:pPr>
    </w:p>
    <w:p w14:paraId="2B8FE567" w14:textId="77777777" w:rsidR="00D10794" w:rsidRDefault="00D10794" w:rsidP="00D10794">
      <w:pPr>
        <w:spacing w:after="0"/>
        <w:rPr>
          <w:rFonts w:cs="Arial"/>
        </w:rPr>
      </w:pPr>
      <w:r>
        <w:rPr>
          <w:rFonts w:cs="Arial"/>
        </w:rPr>
        <w:t xml:space="preserve">Litigation income was also adversely affected as staff were diverted to other </w:t>
      </w:r>
      <w:proofErr w:type="spellStart"/>
      <w:r>
        <w:rPr>
          <w:rFonts w:cs="Arial"/>
        </w:rPr>
        <w:t>covid</w:t>
      </w:r>
      <w:proofErr w:type="spellEnd"/>
      <w:r>
        <w:rPr>
          <w:rFonts w:cs="Arial"/>
        </w:rPr>
        <w:t xml:space="preserve"> related work resulting in an under recovery of c£440,000 </w:t>
      </w:r>
    </w:p>
    <w:p w14:paraId="4A60722A" w14:textId="77777777" w:rsidR="00D10794" w:rsidRPr="00AD5AE0" w:rsidRDefault="00D10794" w:rsidP="00D10794">
      <w:pPr>
        <w:spacing w:after="0"/>
        <w:rPr>
          <w:rFonts w:cs="Arial"/>
        </w:rPr>
      </w:pPr>
    </w:p>
    <w:p w14:paraId="7108959D" w14:textId="77777777" w:rsidR="00D10794" w:rsidRDefault="00D10794" w:rsidP="00D10794">
      <w:pPr>
        <w:spacing w:after="0"/>
        <w:contextualSpacing/>
        <w:rPr>
          <w:rFonts w:cs="Arial"/>
        </w:rPr>
      </w:pPr>
      <w:r w:rsidRPr="00AD5AE0">
        <w:rPr>
          <w:rFonts w:cs="Arial"/>
        </w:rPr>
        <w:t xml:space="preserve">Corporate Services have been apportioned £809,000 of the emergency funding provided by government in respect of the Coronavirus financial pressures. </w:t>
      </w:r>
      <w:r w:rsidRPr="00865F6C">
        <w:rPr>
          <w:rFonts w:cs="Arial"/>
        </w:rPr>
        <w:t>This sum has been apportioned based on the pressures</w:t>
      </w:r>
      <w:r>
        <w:rPr>
          <w:rFonts w:cs="Arial"/>
        </w:rPr>
        <w:t xml:space="preserve"> experienced</w:t>
      </w:r>
      <w:r w:rsidRPr="00865F6C">
        <w:rPr>
          <w:rFonts w:cs="Arial"/>
        </w:rPr>
        <w:t xml:space="preserve"> across the authority.</w:t>
      </w:r>
    </w:p>
    <w:p w14:paraId="71609880" w14:textId="77777777" w:rsidR="00D10794" w:rsidRDefault="00D10794" w:rsidP="00D10794">
      <w:pPr>
        <w:autoSpaceDE/>
        <w:autoSpaceDN/>
        <w:adjustRightInd/>
        <w:spacing w:after="0"/>
        <w:jc w:val="left"/>
        <w:rPr>
          <w:rFonts w:eastAsia="Times New Roman" w:cs="Arial"/>
          <w:b/>
          <w:highlight w:val="yellow"/>
          <w:lang w:eastAsia="en-GB"/>
        </w:rPr>
      </w:pPr>
    </w:p>
    <w:p w14:paraId="21C75911" w14:textId="77777777" w:rsidR="00D10794" w:rsidRDefault="00D10794" w:rsidP="00D10794">
      <w:pPr>
        <w:autoSpaceDE/>
        <w:autoSpaceDN/>
        <w:adjustRightInd/>
        <w:spacing w:after="0"/>
        <w:jc w:val="left"/>
        <w:rPr>
          <w:rFonts w:eastAsia="Times New Roman" w:cs="Arial"/>
          <w:b/>
          <w:highlight w:val="yellow"/>
          <w:lang w:eastAsia="en-GB"/>
        </w:rPr>
      </w:pPr>
    </w:p>
    <w:p w14:paraId="77B0B0AC" w14:textId="77777777" w:rsidR="00D10794" w:rsidRDefault="00D10794" w:rsidP="00D10794">
      <w:pPr>
        <w:autoSpaceDE/>
        <w:autoSpaceDN/>
        <w:adjustRightInd/>
        <w:spacing w:after="0"/>
        <w:jc w:val="left"/>
        <w:rPr>
          <w:rFonts w:eastAsia="Times New Roman" w:cs="Arial"/>
          <w:b/>
          <w:highlight w:val="yellow"/>
          <w:lang w:eastAsia="en-GB"/>
        </w:rPr>
      </w:pPr>
    </w:p>
    <w:p w14:paraId="5076ABF9" w14:textId="77777777" w:rsidR="00D10794" w:rsidRDefault="00D10794" w:rsidP="00D10794">
      <w:pPr>
        <w:autoSpaceDE/>
        <w:autoSpaceDN/>
        <w:adjustRightInd/>
        <w:spacing w:after="0"/>
        <w:jc w:val="left"/>
        <w:rPr>
          <w:rFonts w:eastAsia="Times New Roman" w:cs="Arial"/>
          <w:b/>
          <w:highlight w:val="yellow"/>
          <w:lang w:eastAsia="en-GB"/>
        </w:rPr>
      </w:pPr>
    </w:p>
    <w:p w14:paraId="73B0421A" w14:textId="77777777" w:rsidR="00D10794" w:rsidRDefault="00D10794" w:rsidP="00D10794">
      <w:pPr>
        <w:autoSpaceDE/>
        <w:autoSpaceDN/>
        <w:adjustRightInd/>
        <w:spacing w:after="0"/>
        <w:jc w:val="left"/>
        <w:rPr>
          <w:rFonts w:eastAsia="Times New Roman" w:cs="Arial"/>
          <w:b/>
          <w:highlight w:val="yellow"/>
          <w:lang w:eastAsia="en-GB"/>
        </w:rPr>
      </w:pPr>
    </w:p>
    <w:p w14:paraId="4BE4C6B2" w14:textId="77777777" w:rsidR="00D10794" w:rsidRDefault="00D10794" w:rsidP="00D10794">
      <w:pPr>
        <w:autoSpaceDE/>
        <w:autoSpaceDN/>
        <w:adjustRightInd/>
        <w:spacing w:after="0"/>
        <w:jc w:val="left"/>
        <w:rPr>
          <w:rFonts w:eastAsia="Times New Roman" w:cs="Arial"/>
          <w:b/>
          <w:highlight w:val="yellow"/>
          <w:lang w:eastAsia="en-GB"/>
        </w:rPr>
      </w:pPr>
    </w:p>
    <w:p w14:paraId="22A78032" w14:textId="77777777" w:rsidR="00D10794" w:rsidRDefault="00D10794" w:rsidP="00D10794">
      <w:pPr>
        <w:autoSpaceDE/>
        <w:autoSpaceDN/>
        <w:adjustRightInd/>
        <w:spacing w:after="0"/>
        <w:jc w:val="left"/>
        <w:rPr>
          <w:rFonts w:eastAsia="Times New Roman" w:cs="Arial"/>
          <w:b/>
          <w:highlight w:val="yellow"/>
          <w:lang w:eastAsia="en-GB"/>
        </w:rPr>
      </w:pPr>
    </w:p>
    <w:p w14:paraId="0EEDB65D" w14:textId="77777777" w:rsidR="00D10794" w:rsidRDefault="00D10794" w:rsidP="00D10794">
      <w:pPr>
        <w:autoSpaceDE/>
        <w:autoSpaceDN/>
        <w:adjustRightInd/>
        <w:spacing w:after="0"/>
        <w:jc w:val="left"/>
        <w:rPr>
          <w:rFonts w:eastAsia="Times New Roman" w:cs="Arial"/>
          <w:b/>
          <w:highlight w:val="yellow"/>
          <w:lang w:eastAsia="en-GB"/>
        </w:rPr>
      </w:pPr>
    </w:p>
    <w:p w14:paraId="5079CA1A" w14:textId="77777777" w:rsidR="00D10794" w:rsidRDefault="00D10794" w:rsidP="00D10794">
      <w:pPr>
        <w:autoSpaceDE/>
        <w:autoSpaceDN/>
        <w:adjustRightInd/>
        <w:spacing w:after="0"/>
        <w:jc w:val="left"/>
        <w:rPr>
          <w:rFonts w:eastAsia="Times New Roman" w:cs="Arial"/>
          <w:b/>
          <w:highlight w:val="yellow"/>
          <w:lang w:eastAsia="en-GB"/>
        </w:rPr>
      </w:pPr>
    </w:p>
    <w:p w14:paraId="6B4B29C0" w14:textId="77777777" w:rsidR="00D10794" w:rsidRDefault="00D10794" w:rsidP="00D10794">
      <w:pPr>
        <w:autoSpaceDE/>
        <w:autoSpaceDN/>
        <w:adjustRightInd/>
        <w:spacing w:after="0"/>
        <w:jc w:val="left"/>
        <w:rPr>
          <w:rFonts w:eastAsia="Times New Roman" w:cs="Arial"/>
          <w:b/>
          <w:highlight w:val="yellow"/>
          <w:lang w:eastAsia="en-GB"/>
        </w:rPr>
      </w:pPr>
    </w:p>
    <w:p w14:paraId="3D8D9094" w14:textId="77777777" w:rsidR="00D10794" w:rsidRDefault="00D10794" w:rsidP="00D10794">
      <w:pPr>
        <w:autoSpaceDE/>
        <w:autoSpaceDN/>
        <w:adjustRightInd/>
        <w:spacing w:after="0"/>
        <w:jc w:val="left"/>
        <w:rPr>
          <w:rFonts w:eastAsia="Times New Roman" w:cs="Arial"/>
          <w:b/>
          <w:highlight w:val="yellow"/>
          <w:lang w:eastAsia="en-GB"/>
        </w:rPr>
      </w:pPr>
    </w:p>
    <w:p w14:paraId="7AF051E8" w14:textId="77777777" w:rsidR="00D10794" w:rsidRDefault="00D10794" w:rsidP="00D10794">
      <w:pPr>
        <w:autoSpaceDE/>
        <w:autoSpaceDN/>
        <w:adjustRightInd/>
        <w:spacing w:after="0"/>
        <w:jc w:val="left"/>
        <w:rPr>
          <w:rFonts w:eastAsia="Times New Roman" w:cs="Arial"/>
          <w:b/>
          <w:highlight w:val="yellow"/>
          <w:lang w:eastAsia="en-GB"/>
        </w:rPr>
      </w:pPr>
    </w:p>
    <w:p w14:paraId="708330CE" w14:textId="77777777" w:rsidR="00D10794" w:rsidRDefault="00D10794" w:rsidP="00D10794">
      <w:pPr>
        <w:autoSpaceDE/>
        <w:autoSpaceDN/>
        <w:adjustRightInd/>
        <w:spacing w:after="0"/>
        <w:jc w:val="left"/>
        <w:rPr>
          <w:rFonts w:eastAsia="Times New Roman" w:cs="Arial"/>
          <w:b/>
          <w:highlight w:val="yellow"/>
          <w:lang w:eastAsia="en-GB"/>
        </w:rPr>
      </w:pPr>
    </w:p>
    <w:p w14:paraId="73F45508" w14:textId="77777777" w:rsidR="00D10794" w:rsidRDefault="00D10794" w:rsidP="00D10794">
      <w:pPr>
        <w:autoSpaceDE/>
        <w:autoSpaceDN/>
        <w:adjustRightInd/>
        <w:spacing w:after="0"/>
        <w:jc w:val="left"/>
        <w:rPr>
          <w:rFonts w:eastAsia="Times New Roman" w:cs="Arial"/>
          <w:b/>
          <w:highlight w:val="yellow"/>
          <w:lang w:eastAsia="en-GB"/>
        </w:rPr>
      </w:pPr>
    </w:p>
    <w:p w14:paraId="7F6EFA08" w14:textId="77777777" w:rsidR="00D10794" w:rsidRDefault="00D10794" w:rsidP="00D10794">
      <w:pPr>
        <w:autoSpaceDE/>
        <w:autoSpaceDN/>
        <w:adjustRightInd/>
        <w:spacing w:after="0"/>
        <w:jc w:val="left"/>
        <w:rPr>
          <w:rFonts w:eastAsia="Times New Roman" w:cs="Arial"/>
          <w:b/>
          <w:highlight w:val="yellow"/>
          <w:lang w:eastAsia="en-GB"/>
        </w:rPr>
      </w:pPr>
    </w:p>
    <w:p w14:paraId="5F7AF4EC" w14:textId="77777777" w:rsidR="00D10794" w:rsidRDefault="00D10794" w:rsidP="00D10794">
      <w:pPr>
        <w:autoSpaceDE/>
        <w:autoSpaceDN/>
        <w:adjustRightInd/>
        <w:spacing w:after="0"/>
        <w:jc w:val="left"/>
        <w:rPr>
          <w:rFonts w:eastAsia="Times New Roman" w:cs="Arial"/>
          <w:b/>
          <w:highlight w:val="yellow"/>
          <w:lang w:eastAsia="en-GB"/>
        </w:rPr>
      </w:pPr>
    </w:p>
    <w:p w14:paraId="0B12F0DB" w14:textId="77777777" w:rsidR="00D10794" w:rsidRDefault="00D10794" w:rsidP="00D10794">
      <w:pPr>
        <w:autoSpaceDE/>
        <w:autoSpaceDN/>
        <w:adjustRightInd/>
        <w:spacing w:after="0"/>
        <w:jc w:val="left"/>
        <w:rPr>
          <w:rFonts w:eastAsia="Times New Roman" w:cs="Arial"/>
          <w:b/>
          <w:highlight w:val="yellow"/>
          <w:lang w:eastAsia="en-GB"/>
        </w:rPr>
      </w:pPr>
    </w:p>
    <w:p w14:paraId="70AEC358" w14:textId="77777777" w:rsidR="00D10794" w:rsidRDefault="00D10794" w:rsidP="00D10794">
      <w:pPr>
        <w:autoSpaceDE/>
        <w:autoSpaceDN/>
        <w:adjustRightInd/>
        <w:spacing w:after="0"/>
        <w:jc w:val="left"/>
        <w:rPr>
          <w:rFonts w:eastAsia="Times New Roman" w:cs="Arial"/>
          <w:b/>
          <w:highlight w:val="yellow"/>
          <w:lang w:eastAsia="en-GB"/>
        </w:rPr>
      </w:pPr>
    </w:p>
    <w:p w14:paraId="7B88F33D" w14:textId="77777777" w:rsidR="00D10794" w:rsidRDefault="00D10794" w:rsidP="00D10794">
      <w:pPr>
        <w:autoSpaceDE/>
        <w:autoSpaceDN/>
        <w:adjustRightInd/>
        <w:spacing w:after="0"/>
        <w:jc w:val="left"/>
        <w:rPr>
          <w:rFonts w:eastAsia="Times New Roman" w:cs="Arial"/>
          <w:b/>
          <w:highlight w:val="yellow"/>
          <w:lang w:eastAsia="en-GB"/>
        </w:rPr>
      </w:pPr>
    </w:p>
    <w:p w14:paraId="4FE85722" w14:textId="77777777" w:rsidR="00D10794" w:rsidRDefault="00D10794" w:rsidP="00D10794">
      <w:pPr>
        <w:autoSpaceDE/>
        <w:autoSpaceDN/>
        <w:adjustRightInd/>
        <w:spacing w:after="0"/>
        <w:jc w:val="left"/>
        <w:rPr>
          <w:rFonts w:eastAsia="Times New Roman" w:cs="Arial"/>
          <w:b/>
          <w:highlight w:val="yellow"/>
          <w:lang w:eastAsia="en-GB"/>
        </w:rPr>
      </w:pPr>
    </w:p>
    <w:p w14:paraId="1F638374" w14:textId="77777777" w:rsidR="00D10794" w:rsidRDefault="00D10794" w:rsidP="00D10794">
      <w:pPr>
        <w:autoSpaceDE/>
        <w:autoSpaceDN/>
        <w:adjustRightInd/>
        <w:spacing w:after="0"/>
        <w:jc w:val="left"/>
        <w:rPr>
          <w:rFonts w:eastAsia="Times New Roman" w:cs="Arial"/>
          <w:b/>
          <w:highlight w:val="yellow"/>
          <w:lang w:eastAsia="en-GB"/>
        </w:rPr>
      </w:pPr>
    </w:p>
    <w:p w14:paraId="47B6B349" w14:textId="77777777" w:rsidR="00D10794" w:rsidRDefault="00D10794" w:rsidP="00D10794">
      <w:pPr>
        <w:autoSpaceDE/>
        <w:autoSpaceDN/>
        <w:adjustRightInd/>
        <w:spacing w:after="0"/>
        <w:jc w:val="left"/>
        <w:rPr>
          <w:rFonts w:eastAsia="Times New Roman" w:cs="Arial"/>
          <w:b/>
          <w:highlight w:val="yellow"/>
          <w:lang w:eastAsia="en-GB"/>
        </w:rPr>
      </w:pPr>
    </w:p>
    <w:p w14:paraId="4708CF8F" w14:textId="77777777" w:rsidR="00D10794" w:rsidRDefault="00D10794" w:rsidP="00D10794">
      <w:pPr>
        <w:autoSpaceDE/>
        <w:autoSpaceDN/>
        <w:adjustRightInd/>
        <w:spacing w:after="0"/>
        <w:jc w:val="left"/>
        <w:rPr>
          <w:rFonts w:eastAsia="Times New Roman" w:cs="Arial"/>
          <w:b/>
          <w:highlight w:val="yellow"/>
          <w:lang w:eastAsia="en-GB"/>
        </w:rPr>
      </w:pPr>
    </w:p>
    <w:p w14:paraId="380F8B33" w14:textId="77777777" w:rsidR="00D10794" w:rsidRDefault="00D10794" w:rsidP="00D10794">
      <w:pPr>
        <w:autoSpaceDE/>
        <w:autoSpaceDN/>
        <w:adjustRightInd/>
        <w:spacing w:after="0"/>
        <w:jc w:val="left"/>
        <w:rPr>
          <w:rFonts w:eastAsia="Times New Roman" w:cs="Arial"/>
          <w:b/>
          <w:highlight w:val="yellow"/>
          <w:lang w:eastAsia="en-GB"/>
        </w:rPr>
      </w:pPr>
    </w:p>
    <w:p w14:paraId="475BECBB" w14:textId="77777777" w:rsidR="00D10794" w:rsidRDefault="00D10794" w:rsidP="00D10794">
      <w:pPr>
        <w:autoSpaceDE/>
        <w:autoSpaceDN/>
        <w:adjustRightInd/>
        <w:spacing w:after="0"/>
        <w:jc w:val="left"/>
        <w:rPr>
          <w:rFonts w:eastAsia="Times New Roman" w:cs="Arial"/>
          <w:b/>
          <w:highlight w:val="yellow"/>
          <w:lang w:eastAsia="en-GB"/>
        </w:rPr>
      </w:pPr>
    </w:p>
    <w:p w14:paraId="2C95AD88" w14:textId="77777777" w:rsidR="00D10794" w:rsidRPr="00BC70A2" w:rsidRDefault="00D10794" w:rsidP="00D10794">
      <w:pPr>
        <w:autoSpaceDE/>
        <w:autoSpaceDN/>
        <w:adjustRightInd/>
        <w:spacing w:after="0"/>
        <w:jc w:val="left"/>
        <w:rPr>
          <w:rFonts w:cs="Arial"/>
          <w:b/>
        </w:rPr>
      </w:pPr>
      <w:r w:rsidRPr="00BC70A2">
        <w:rPr>
          <w:rFonts w:eastAsia="Times New Roman" w:cs="Arial"/>
          <w:b/>
          <w:lang w:eastAsia="en-GB"/>
        </w:rPr>
        <w:lastRenderedPageBreak/>
        <w:t>3.11</w:t>
      </w:r>
      <w:r w:rsidRPr="00BC70A2">
        <w:rPr>
          <w:rFonts w:eastAsia="Times New Roman" w:cs="Arial"/>
          <w:b/>
          <w:lang w:eastAsia="en-GB"/>
        </w:rPr>
        <w:tab/>
      </w:r>
      <w:r w:rsidRPr="00BC70A2">
        <w:rPr>
          <w:rFonts w:cs="Arial"/>
          <w:b/>
        </w:rPr>
        <w:t xml:space="preserve">Strategy and Performance </w:t>
      </w:r>
    </w:p>
    <w:p w14:paraId="052F0DF5" w14:textId="77777777" w:rsidR="00D10794" w:rsidRDefault="00D10794" w:rsidP="00D10794">
      <w:pPr>
        <w:autoSpaceDE/>
        <w:autoSpaceDN/>
        <w:adjustRightInd/>
        <w:spacing w:after="0"/>
        <w:jc w:val="left"/>
        <w:rPr>
          <w:rFonts w:cs="Arial"/>
          <w:b/>
          <w:highlight w:val="yellow"/>
        </w:rPr>
      </w:pPr>
    </w:p>
    <w:tbl>
      <w:tblPr>
        <w:tblW w:w="9142" w:type="dxa"/>
        <w:tblLook w:val="04A0" w:firstRow="1" w:lastRow="0" w:firstColumn="1" w:lastColumn="0" w:noHBand="0" w:noVBand="1"/>
      </w:tblPr>
      <w:tblGrid>
        <w:gridCol w:w="3710"/>
        <w:gridCol w:w="1150"/>
        <w:gridCol w:w="1086"/>
        <w:gridCol w:w="1096"/>
        <w:gridCol w:w="1050"/>
        <w:gridCol w:w="1050"/>
      </w:tblGrid>
      <w:tr w:rsidR="002F12B1" w14:paraId="6A086166" w14:textId="77777777" w:rsidTr="00D10794">
        <w:trPr>
          <w:trHeight w:val="762"/>
        </w:trPr>
        <w:tc>
          <w:tcPr>
            <w:tcW w:w="3986" w:type="dxa"/>
            <w:tcBorders>
              <w:top w:val="single" w:sz="4" w:space="0" w:color="auto"/>
              <w:left w:val="single" w:sz="4" w:space="0" w:color="auto"/>
              <w:bottom w:val="nil"/>
              <w:right w:val="single" w:sz="4" w:space="0" w:color="auto"/>
            </w:tcBorders>
            <w:shd w:val="clear" w:color="000000" w:fill="D9D9D9"/>
            <w:vAlign w:val="center"/>
            <w:hideMark/>
          </w:tcPr>
          <w:p w14:paraId="7937116B" w14:textId="62E7D0D0" w:rsidR="00D10794" w:rsidRPr="00B90474" w:rsidRDefault="00D10794" w:rsidP="00D10794">
            <w:pPr>
              <w:autoSpaceDE/>
              <w:autoSpaceDN/>
              <w:adjustRightInd/>
              <w:spacing w:after="0"/>
              <w:jc w:val="center"/>
              <w:rPr>
                <w:rFonts w:eastAsia="Times New Roman" w:cs="Arial"/>
                <w:b/>
                <w:bCs/>
                <w:sz w:val="20"/>
                <w:szCs w:val="20"/>
                <w:lang w:eastAsia="en-GB"/>
              </w:rPr>
            </w:pP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50A43686"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46CC87E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14:paraId="2F85640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66" w:type="dxa"/>
            <w:tcBorders>
              <w:top w:val="single" w:sz="4" w:space="0" w:color="auto"/>
              <w:left w:val="nil"/>
              <w:bottom w:val="single" w:sz="4" w:space="0" w:color="auto"/>
              <w:right w:val="single" w:sz="4" w:space="0" w:color="auto"/>
            </w:tcBorders>
            <w:shd w:val="clear" w:color="000000" w:fill="D9D9D9"/>
            <w:vAlign w:val="center"/>
            <w:hideMark/>
          </w:tcPr>
          <w:p w14:paraId="2B5A6D1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84" w:type="dxa"/>
            <w:tcBorders>
              <w:top w:val="single" w:sz="4" w:space="0" w:color="auto"/>
              <w:left w:val="nil"/>
              <w:bottom w:val="single" w:sz="4" w:space="0" w:color="auto"/>
              <w:right w:val="single" w:sz="4" w:space="0" w:color="auto"/>
            </w:tcBorders>
            <w:shd w:val="clear" w:color="000000" w:fill="D9D9D9"/>
            <w:vAlign w:val="center"/>
            <w:hideMark/>
          </w:tcPr>
          <w:p w14:paraId="471775A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5C1A204F"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5E8D83EF"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w:t>
            </w:r>
          </w:p>
        </w:tc>
        <w:tc>
          <w:tcPr>
            <w:tcW w:w="1102" w:type="dxa"/>
            <w:tcBorders>
              <w:top w:val="nil"/>
              <w:left w:val="nil"/>
              <w:bottom w:val="single" w:sz="4" w:space="0" w:color="auto"/>
              <w:right w:val="single" w:sz="4" w:space="0" w:color="auto"/>
            </w:tcBorders>
            <w:shd w:val="clear" w:color="000000" w:fill="D9D9D9"/>
            <w:vAlign w:val="center"/>
            <w:hideMark/>
          </w:tcPr>
          <w:p w14:paraId="760B47A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102" w:type="dxa"/>
            <w:tcBorders>
              <w:top w:val="nil"/>
              <w:left w:val="nil"/>
              <w:bottom w:val="single" w:sz="4" w:space="0" w:color="auto"/>
              <w:right w:val="single" w:sz="4" w:space="0" w:color="auto"/>
            </w:tcBorders>
            <w:shd w:val="clear" w:color="000000" w:fill="D9D9D9"/>
            <w:vAlign w:val="center"/>
            <w:hideMark/>
          </w:tcPr>
          <w:p w14:paraId="29C8DE16"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102" w:type="dxa"/>
            <w:tcBorders>
              <w:top w:val="nil"/>
              <w:left w:val="nil"/>
              <w:bottom w:val="single" w:sz="4" w:space="0" w:color="auto"/>
              <w:right w:val="single" w:sz="4" w:space="0" w:color="auto"/>
            </w:tcBorders>
            <w:shd w:val="clear" w:color="000000" w:fill="D9D9D9"/>
            <w:vAlign w:val="center"/>
            <w:hideMark/>
          </w:tcPr>
          <w:p w14:paraId="19FCB4C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66" w:type="dxa"/>
            <w:tcBorders>
              <w:top w:val="nil"/>
              <w:left w:val="nil"/>
              <w:bottom w:val="single" w:sz="4" w:space="0" w:color="auto"/>
              <w:right w:val="single" w:sz="4" w:space="0" w:color="auto"/>
            </w:tcBorders>
            <w:shd w:val="clear" w:color="000000" w:fill="D9D9D9"/>
            <w:vAlign w:val="center"/>
            <w:hideMark/>
          </w:tcPr>
          <w:p w14:paraId="0EAF23E3"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84" w:type="dxa"/>
            <w:tcBorders>
              <w:top w:val="nil"/>
              <w:left w:val="nil"/>
              <w:bottom w:val="single" w:sz="4" w:space="0" w:color="auto"/>
              <w:right w:val="single" w:sz="4" w:space="0" w:color="auto"/>
            </w:tcBorders>
            <w:shd w:val="clear" w:color="000000" w:fill="D9D9D9"/>
            <w:vAlign w:val="center"/>
            <w:hideMark/>
          </w:tcPr>
          <w:p w14:paraId="700071C9"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27C0AD0C"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71564CF0"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Asset M</w:t>
            </w:r>
            <w:r>
              <w:rPr>
                <w:rFonts w:eastAsia="Times New Roman" w:cs="Arial"/>
                <w:b/>
                <w:bCs/>
                <w:sz w:val="20"/>
                <w:szCs w:val="20"/>
                <w:lang w:eastAsia="en-GB"/>
              </w:rPr>
              <w:t>anagement</w:t>
            </w:r>
          </w:p>
        </w:tc>
        <w:tc>
          <w:tcPr>
            <w:tcW w:w="1102" w:type="dxa"/>
            <w:tcBorders>
              <w:top w:val="nil"/>
              <w:left w:val="nil"/>
              <w:bottom w:val="single" w:sz="4" w:space="0" w:color="auto"/>
              <w:right w:val="single" w:sz="4" w:space="0" w:color="auto"/>
            </w:tcBorders>
            <w:shd w:val="clear" w:color="auto" w:fill="auto"/>
            <w:vAlign w:val="center"/>
            <w:hideMark/>
          </w:tcPr>
          <w:p w14:paraId="16D29604"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7.244</w:t>
            </w:r>
          </w:p>
        </w:tc>
        <w:tc>
          <w:tcPr>
            <w:tcW w:w="1102" w:type="dxa"/>
            <w:tcBorders>
              <w:top w:val="nil"/>
              <w:left w:val="nil"/>
              <w:bottom w:val="single" w:sz="4" w:space="0" w:color="auto"/>
              <w:right w:val="single" w:sz="4" w:space="0" w:color="auto"/>
            </w:tcBorders>
            <w:shd w:val="clear" w:color="auto" w:fill="auto"/>
            <w:vAlign w:val="center"/>
            <w:hideMark/>
          </w:tcPr>
          <w:p w14:paraId="27D1D0A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7.043</w:t>
            </w:r>
          </w:p>
        </w:tc>
        <w:tc>
          <w:tcPr>
            <w:tcW w:w="1102" w:type="dxa"/>
            <w:tcBorders>
              <w:top w:val="nil"/>
              <w:left w:val="nil"/>
              <w:bottom w:val="single" w:sz="4" w:space="0" w:color="auto"/>
              <w:right w:val="single" w:sz="4" w:space="0" w:color="auto"/>
            </w:tcBorders>
            <w:shd w:val="clear" w:color="000000" w:fill="D9D9D9"/>
            <w:vAlign w:val="center"/>
            <w:hideMark/>
          </w:tcPr>
          <w:p w14:paraId="373D544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-0.201</w:t>
            </w:r>
          </w:p>
        </w:tc>
        <w:tc>
          <w:tcPr>
            <w:tcW w:w="966" w:type="dxa"/>
            <w:tcBorders>
              <w:top w:val="nil"/>
              <w:left w:val="nil"/>
              <w:bottom w:val="single" w:sz="4" w:space="0" w:color="auto"/>
              <w:right w:val="single" w:sz="4" w:space="0" w:color="auto"/>
            </w:tcBorders>
            <w:shd w:val="clear" w:color="auto" w:fill="auto"/>
            <w:vAlign w:val="center"/>
            <w:hideMark/>
          </w:tcPr>
          <w:p w14:paraId="46D8076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-2.77%</w:t>
            </w:r>
          </w:p>
        </w:tc>
        <w:tc>
          <w:tcPr>
            <w:tcW w:w="884" w:type="dxa"/>
            <w:tcBorders>
              <w:top w:val="nil"/>
              <w:left w:val="nil"/>
              <w:bottom w:val="single" w:sz="4" w:space="0" w:color="auto"/>
              <w:right w:val="single" w:sz="4" w:space="0" w:color="auto"/>
            </w:tcBorders>
            <w:shd w:val="clear" w:color="auto" w:fill="auto"/>
            <w:vAlign w:val="center"/>
            <w:hideMark/>
          </w:tcPr>
          <w:p w14:paraId="68A1F1A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-0.150</w:t>
            </w:r>
          </w:p>
        </w:tc>
      </w:tr>
      <w:tr w:rsidR="002F12B1" w14:paraId="357115DD"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25BB783B"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Facilities M</w:t>
            </w:r>
            <w:r>
              <w:rPr>
                <w:rFonts w:eastAsia="Times New Roman" w:cs="Arial"/>
                <w:b/>
                <w:bCs/>
                <w:sz w:val="20"/>
                <w:szCs w:val="20"/>
                <w:lang w:eastAsia="en-GB"/>
              </w:rPr>
              <w:t>anagement</w:t>
            </w:r>
          </w:p>
        </w:tc>
        <w:tc>
          <w:tcPr>
            <w:tcW w:w="1102" w:type="dxa"/>
            <w:tcBorders>
              <w:top w:val="nil"/>
              <w:left w:val="nil"/>
              <w:bottom w:val="single" w:sz="4" w:space="0" w:color="auto"/>
              <w:right w:val="single" w:sz="4" w:space="0" w:color="auto"/>
            </w:tcBorders>
            <w:shd w:val="clear" w:color="auto" w:fill="auto"/>
            <w:vAlign w:val="center"/>
            <w:hideMark/>
          </w:tcPr>
          <w:p w14:paraId="2400453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19.773</w:t>
            </w:r>
          </w:p>
        </w:tc>
        <w:tc>
          <w:tcPr>
            <w:tcW w:w="1102" w:type="dxa"/>
            <w:tcBorders>
              <w:top w:val="nil"/>
              <w:left w:val="nil"/>
              <w:bottom w:val="single" w:sz="4" w:space="0" w:color="auto"/>
              <w:right w:val="single" w:sz="4" w:space="0" w:color="auto"/>
            </w:tcBorders>
            <w:shd w:val="clear" w:color="auto" w:fill="auto"/>
            <w:vAlign w:val="center"/>
            <w:hideMark/>
          </w:tcPr>
          <w:p w14:paraId="396C9B1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22.668</w:t>
            </w:r>
          </w:p>
        </w:tc>
        <w:tc>
          <w:tcPr>
            <w:tcW w:w="1102" w:type="dxa"/>
            <w:tcBorders>
              <w:top w:val="nil"/>
              <w:left w:val="nil"/>
              <w:bottom w:val="single" w:sz="4" w:space="0" w:color="auto"/>
              <w:right w:val="single" w:sz="4" w:space="0" w:color="auto"/>
            </w:tcBorders>
            <w:shd w:val="clear" w:color="000000" w:fill="D9D9D9"/>
            <w:vAlign w:val="center"/>
            <w:hideMark/>
          </w:tcPr>
          <w:p w14:paraId="16866CB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2.895</w:t>
            </w:r>
          </w:p>
        </w:tc>
        <w:tc>
          <w:tcPr>
            <w:tcW w:w="966" w:type="dxa"/>
            <w:tcBorders>
              <w:top w:val="nil"/>
              <w:left w:val="nil"/>
              <w:bottom w:val="single" w:sz="4" w:space="0" w:color="auto"/>
              <w:right w:val="single" w:sz="4" w:space="0" w:color="auto"/>
            </w:tcBorders>
            <w:shd w:val="clear" w:color="auto" w:fill="auto"/>
            <w:vAlign w:val="center"/>
            <w:hideMark/>
          </w:tcPr>
          <w:p w14:paraId="3E066F0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14.64%</w:t>
            </w:r>
          </w:p>
        </w:tc>
        <w:tc>
          <w:tcPr>
            <w:tcW w:w="884" w:type="dxa"/>
            <w:tcBorders>
              <w:top w:val="nil"/>
              <w:left w:val="nil"/>
              <w:bottom w:val="single" w:sz="4" w:space="0" w:color="auto"/>
              <w:right w:val="single" w:sz="4" w:space="0" w:color="auto"/>
            </w:tcBorders>
            <w:shd w:val="clear" w:color="auto" w:fill="auto"/>
            <w:vAlign w:val="center"/>
            <w:hideMark/>
          </w:tcPr>
          <w:p w14:paraId="17DDDCE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3.816</w:t>
            </w:r>
          </w:p>
        </w:tc>
      </w:tr>
      <w:tr w:rsidR="002F12B1" w14:paraId="527DD889"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4E6087BE"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Core Systems and Business Support</w:t>
            </w:r>
          </w:p>
        </w:tc>
        <w:tc>
          <w:tcPr>
            <w:tcW w:w="1102" w:type="dxa"/>
            <w:tcBorders>
              <w:top w:val="nil"/>
              <w:left w:val="nil"/>
              <w:bottom w:val="single" w:sz="4" w:space="0" w:color="auto"/>
              <w:right w:val="single" w:sz="4" w:space="0" w:color="auto"/>
            </w:tcBorders>
            <w:shd w:val="clear" w:color="auto" w:fill="auto"/>
            <w:vAlign w:val="center"/>
            <w:hideMark/>
          </w:tcPr>
          <w:p w14:paraId="6844504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4.544</w:t>
            </w:r>
          </w:p>
        </w:tc>
        <w:tc>
          <w:tcPr>
            <w:tcW w:w="1102" w:type="dxa"/>
            <w:tcBorders>
              <w:top w:val="nil"/>
              <w:left w:val="nil"/>
              <w:bottom w:val="single" w:sz="4" w:space="0" w:color="auto"/>
              <w:right w:val="single" w:sz="4" w:space="0" w:color="auto"/>
            </w:tcBorders>
            <w:shd w:val="clear" w:color="auto" w:fill="auto"/>
            <w:vAlign w:val="center"/>
            <w:hideMark/>
          </w:tcPr>
          <w:p w14:paraId="1FC9705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4.460</w:t>
            </w:r>
          </w:p>
        </w:tc>
        <w:tc>
          <w:tcPr>
            <w:tcW w:w="1102" w:type="dxa"/>
            <w:tcBorders>
              <w:top w:val="nil"/>
              <w:left w:val="nil"/>
              <w:bottom w:val="single" w:sz="4" w:space="0" w:color="auto"/>
              <w:right w:val="single" w:sz="4" w:space="0" w:color="auto"/>
            </w:tcBorders>
            <w:shd w:val="clear" w:color="000000" w:fill="D9D9D9"/>
            <w:vAlign w:val="center"/>
            <w:hideMark/>
          </w:tcPr>
          <w:p w14:paraId="0DE88A3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-0.084</w:t>
            </w:r>
          </w:p>
        </w:tc>
        <w:tc>
          <w:tcPr>
            <w:tcW w:w="966" w:type="dxa"/>
            <w:tcBorders>
              <w:top w:val="nil"/>
              <w:left w:val="nil"/>
              <w:bottom w:val="single" w:sz="4" w:space="0" w:color="auto"/>
              <w:right w:val="single" w:sz="4" w:space="0" w:color="auto"/>
            </w:tcBorders>
            <w:shd w:val="clear" w:color="auto" w:fill="auto"/>
            <w:vAlign w:val="center"/>
            <w:hideMark/>
          </w:tcPr>
          <w:p w14:paraId="2D0A043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-1.85%</w:t>
            </w:r>
          </w:p>
        </w:tc>
        <w:tc>
          <w:tcPr>
            <w:tcW w:w="884" w:type="dxa"/>
            <w:tcBorders>
              <w:top w:val="nil"/>
              <w:left w:val="nil"/>
              <w:bottom w:val="single" w:sz="4" w:space="0" w:color="auto"/>
              <w:right w:val="single" w:sz="4" w:space="0" w:color="auto"/>
            </w:tcBorders>
            <w:shd w:val="clear" w:color="auto" w:fill="auto"/>
            <w:vAlign w:val="center"/>
            <w:hideMark/>
          </w:tcPr>
          <w:p w14:paraId="7450955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-0.007</w:t>
            </w:r>
          </w:p>
        </w:tc>
      </w:tr>
      <w:tr w:rsidR="002F12B1" w14:paraId="25DB83D9"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40E8E6F2"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Business Intelligence</w:t>
            </w:r>
          </w:p>
        </w:tc>
        <w:tc>
          <w:tcPr>
            <w:tcW w:w="1102" w:type="dxa"/>
            <w:tcBorders>
              <w:top w:val="nil"/>
              <w:left w:val="nil"/>
              <w:bottom w:val="single" w:sz="4" w:space="0" w:color="auto"/>
              <w:right w:val="single" w:sz="4" w:space="0" w:color="auto"/>
            </w:tcBorders>
            <w:shd w:val="clear" w:color="auto" w:fill="auto"/>
            <w:vAlign w:val="center"/>
            <w:hideMark/>
          </w:tcPr>
          <w:p w14:paraId="41F0B05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1.342</w:t>
            </w:r>
          </w:p>
        </w:tc>
        <w:tc>
          <w:tcPr>
            <w:tcW w:w="1102" w:type="dxa"/>
            <w:tcBorders>
              <w:top w:val="nil"/>
              <w:left w:val="nil"/>
              <w:bottom w:val="single" w:sz="4" w:space="0" w:color="auto"/>
              <w:right w:val="single" w:sz="4" w:space="0" w:color="auto"/>
            </w:tcBorders>
            <w:shd w:val="clear" w:color="auto" w:fill="auto"/>
            <w:vAlign w:val="center"/>
            <w:hideMark/>
          </w:tcPr>
          <w:p w14:paraId="49A934E5"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1.606</w:t>
            </w:r>
          </w:p>
        </w:tc>
        <w:tc>
          <w:tcPr>
            <w:tcW w:w="1102" w:type="dxa"/>
            <w:tcBorders>
              <w:top w:val="nil"/>
              <w:left w:val="nil"/>
              <w:bottom w:val="single" w:sz="4" w:space="0" w:color="auto"/>
              <w:right w:val="single" w:sz="4" w:space="0" w:color="auto"/>
            </w:tcBorders>
            <w:shd w:val="clear" w:color="000000" w:fill="D9D9D9"/>
            <w:vAlign w:val="center"/>
            <w:hideMark/>
          </w:tcPr>
          <w:p w14:paraId="7B5F1FB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0.264</w:t>
            </w:r>
          </w:p>
        </w:tc>
        <w:tc>
          <w:tcPr>
            <w:tcW w:w="966" w:type="dxa"/>
            <w:tcBorders>
              <w:top w:val="nil"/>
              <w:left w:val="nil"/>
              <w:bottom w:val="single" w:sz="4" w:space="0" w:color="auto"/>
              <w:right w:val="single" w:sz="4" w:space="0" w:color="auto"/>
            </w:tcBorders>
            <w:shd w:val="clear" w:color="auto" w:fill="auto"/>
            <w:vAlign w:val="center"/>
            <w:hideMark/>
          </w:tcPr>
          <w:p w14:paraId="0B517AB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19.67%</w:t>
            </w:r>
          </w:p>
        </w:tc>
        <w:tc>
          <w:tcPr>
            <w:tcW w:w="884" w:type="dxa"/>
            <w:tcBorders>
              <w:top w:val="nil"/>
              <w:left w:val="nil"/>
              <w:bottom w:val="single" w:sz="4" w:space="0" w:color="auto"/>
              <w:right w:val="single" w:sz="4" w:space="0" w:color="auto"/>
            </w:tcBorders>
            <w:shd w:val="clear" w:color="auto" w:fill="auto"/>
            <w:vAlign w:val="center"/>
            <w:hideMark/>
          </w:tcPr>
          <w:p w14:paraId="4FDE7FD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0.025</w:t>
            </w:r>
          </w:p>
        </w:tc>
      </w:tr>
      <w:tr w:rsidR="002F12B1" w14:paraId="21FE2A06"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715DD16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102" w:type="dxa"/>
            <w:tcBorders>
              <w:top w:val="nil"/>
              <w:left w:val="nil"/>
              <w:bottom w:val="single" w:sz="4" w:space="0" w:color="auto"/>
              <w:right w:val="single" w:sz="4" w:space="0" w:color="auto"/>
            </w:tcBorders>
            <w:shd w:val="clear" w:color="000000" w:fill="D9D9D9"/>
            <w:vAlign w:val="center"/>
            <w:hideMark/>
          </w:tcPr>
          <w:p w14:paraId="373757C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32.903</w:t>
            </w:r>
          </w:p>
        </w:tc>
        <w:tc>
          <w:tcPr>
            <w:tcW w:w="1102" w:type="dxa"/>
            <w:tcBorders>
              <w:top w:val="nil"/>
              <w:left w:val="nil"/>
              <w:bottom w:val="single" w:sz="4" w:space="0" w:color="auto"/>
              <w:right w:val="single" w:sz="4" w:space="0" w:color="auto"/>
            </w:tcBorders>
            <w:shd w:val="clear" w:color="000000" w:fill="D9D9D9"/>
            <w:vAlign w:val="center"/>
            <w:hideMark/>
          </w:tcPr>
          <w:p w14:paraId="612E39FD"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35.777</w:t>
            </w:r>
          </w:p>
        </w:tc>
        <w:tc>
          <w:tcPr>
            <w:tcW w:w="1102" w:type="dxa"/>
            <w:tcBorders>
              <w:top w:val="nil"/>
              <w:left w:val="nil"/>
              <w:bottom w:val="single" w:sz="4" w:space="0" w:color="auto"/>
              <w:right w:val="single" w:sz="4" w:space="0" w:color="auto"/>
            </w:tcBorders>
            <w:shd w:val="clear" w:color="000000" w:fill="D9D9D9"/>
            <w:vAlign w:val="center"/>
            <w:hideMark/>
          </w:tcPr>
          <w:p w14:paraId="4573859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2.874</w:t>
            </w:r>
          </w:p>
        </w:tc>
        <w:tc>
          <w:tcPr>
            <w:tcW w:w="966" w:type="dxa"/>
            <w:tcBorders>
              <w:top w:val="nil"/>
              <w:left w:val="nil"/>
              <w:bottom w:val="single" w:sz="4" w:space="0" w:color="auto"/>
              <w:right w:val="single" w:sz="4" w:space="0" w:color="auto"/>
            </w:tcBorders>
            <w:shd w:val="clear" w:color="000000" w:fill="D9D9D9"/>
            <w:vAlign w:val="center"/>
            <w:hideMark/>
          </w:tcPr>
          <w:p w14:paraId="7BD7B94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8.73%</w:t>
            </w:r>
          </w:p>
        </w:tc>
        <w:tc>
          <w:tcPr>
            <w:tcW w:w="884" w:type="dxa"/>
            <w:tcBorders>
              <w:top w:val="nil"/>
              <w:left w:val="nil"/>
              <w:bottom w:val="single" w:sz="4" w:space="0" w:color="auto"/>
              <w:right w:val="single" w:sz="4" w:space="0" w:color="auto"/>
            </w:tcBorders>
            <w:shd w:val="clear" w:color="000000" w:fill="D9D9D9"/>
            <w:vAlign w:val="center"/>
            <w:hideMark/>
          </w:tcPr>
          <w:p w14:paraId="1DECD6E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3.684</w:t>
            </w:r>
          </w:p>
        </w:tc>
      </w:tr>
      <w:tr w:rsidR="002F12B1" w14:paraId="15F04562"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2E9EFF8C"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102" w:type="dxa"/>
            <w:tcBorders>
              <w:top w:val="nil"/>
              <w:left w:val="nil"/>
              <w:bottom w:val="single" w:sz="4" w:space="0" w:color="auto"/>
              <w:right w:val="single" w:sz="4" w:space="0" w:color="auto"/>
            </w:tcBorders>
            <w:shd w:val="clear" w:color="auto" w:fill="auto"/>
            <w:vAlign w:val="center"/>
            <w:hideMark/>
          </w:tcPr>
          <w:p w14:paraId="24BE6FC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102" w:type="dxa"/>
            <w:tcBorders>
              <w:top w:val="nil"/>
              <w:left w:val="nil"/>
              <w:bottom w:val="single" w:sz="4" w:space="0" w:color="auto"/>
              <w:right w:val="single" w:sz="4" w:space="0" w:color="auto"/>
            </w:tcBorders>
            <w:shd w:val="clear" w:color="auto" w:fill="auto"/>
            <w:vAlign w:val="center"/>
            <w:hideMark/>
          </w:tcPr>
          <w:p w14:paraId="38D22D6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-0.118</w:t>
            </w:r>
          </w:p>
        </w:tc>
        <w:tc>
          <w:tcPr>
            <w:tcW w:w="1102" w:type="dxa"/>
            <w:tcBorders>
              <w:top w:val="nil"/>
              <w:left w:val="nil"/>
              <w:bottom w:val="single" w:sz="4" w:space="0" w:color="auto"/>
              <w:right w:val="single" w:sz="4" w:space="0" w:color="auto"/>
            </w:tcBorders>
            <w:shd w:val="clear" w:color="000000" w:fill="D9D9D9"/>
            <w:vAlign w:val="center"/>
            <w:hideMark/>
          </w:tcPr>
          <w:p w14:paraId="7224D70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-0.118</w:t>
            </w:r>
          </w:p>
        </w:tc>
        <w:tc>
          <w:tcPr>
            <w:tcW w:w="966" w:type="dxa"/>
            <w:tcBorders>
              <w:top w:val="nil"/>
              <w:left w:val="nil"/>
              <w:bottom w:val="single" w:sz="4" w:space="0" w:color="auto"/>
              <w:right w:val="single" w:sz="4" w:space="0" w:color="auto"/>
            </w:tcBorders>
            <w:shd w:val="clear" w:color="auto" w:fill="auto"/>
            <w:vAlign w:val="center"/>
            <w:hideMark/>
          </w:tcPr>
          <w:p w14:paraId="0A59349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84" w:type="dxa"/>
            <w:tcBorders>
              <w:top w:val="nil"/>
              <w:left w:val="nil"/>
              <w:bottom w:val="single" w:sz="4" w:space="0" w:color="auto"/>
              <w:right w:val="single" w:sz="4" w:space="0" w:color="auto"/>
            </w:tcBorders>
            <w:shd w:val="clear" w:color="auto" w:fill="auto"/>
            <w:vAlign w:val="center"/>
            <w:hideMark/>
          </w:tcPr>
          <w:p w14:paraId="1B43DFE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-0.125</w:t>
            </w:r>
          </w:p>
        </w:tc>
      </w:tr>
      <w:tr w:rsidR="002F12B1" w14:paraId="5359E1C2" w14:textId="77777777" w:rsidTr="00D10794">
        <w:trPr>
          <w:trHeight w:val="299"/>
        </w:trPr>
        <w:tc>
          <w:tcPr>
            <w:tcW w:w="3986" w:type="dxa"/>
            <w:tcBorders>
              <w:top w:val="nil"/>
              <w:left w:val="single" w:sz="4" w:space="0" w:color="auto"/>
              <w:bottom w:val="single" w:sz="4" w:space="0" w:color="auto"/>
              <w:right w:val="single" w:sz="4" w:space="0" w:color="auto"/>
            </w:tcBorders>
            <w:shd w:val="clear" w:color="000000" w:fill="D9D9D9"/>
            <w:vAlign w:val="center"/>
            <w:hideMark/>
          </w:tcPr>
          <w:p w14:paraId="3DA26C23"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Strategy and Performance</w:t>
            </w:r>
          </w:p>
        </w:tc>
        <w:tc>
          <w:tcPr>
            <w:tcW w:w="1102" w:type="dxa"/>
            <w:tcBorders>
              <w:top w:val="nil"/>
              <w:left w:val="nil"/>
              <w:bottom w:val="single" w:sz="4" w:space="0" w:color="auto"/>
              <w:right w:val="single" w:sz="4" w:space="0" w:color="auto"/>
            </w:tcBorders>
            <w:shd w:val="clear" w:color="000000" w:fill="D9D9D9"/>
            <w:vAlign w:val="center"/>
            <w:hideMark/>
          </w:tcPr>
          <w:p w14:paraId="1B1B42A6"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32.903</w:t>
            </w:r>
          </w:p>
        </w:tc>
        <w:tc>
          <w:tcPr>
            <w:tcW w:w="1102" w:type="dxa"/>
            <w:tcBorders>
              <w:top w:val="nil"/>
              <w:left w:val="nil"/>
              <w:bottom w:val="single" w:sz="4" w:space="0" w:color="auto"/>
              <w:right w:val="single" w:sz="4" w:space="0" w:color="auto"/>
            </w:tcBorders>
            <w:shd w:val="clear" w:color="000000" w:fill="D9D9D9"/>
            <w:vAlign w:val="center"/>
            <w:hideMark/>
          </w:tcPr>
          <w:p w14:paraId="7FD89C2A"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35.659</w:t>
            </w:r>
          </w:p>
        </w:tc>
        <w:tc>
          <w:tcPr>
            <w:tcW w:w="1102" w:type="dxa"/>
            <w:tcBorders>
              <w:top w:val="nil"/>
              <w:left w:val="nil"/>
              <w:bottom w:val="single" w:sz="4" w:space="0" w:color="auto"/>
              <w:right w:val="single" w:sz="4" w:space="0" w:color="auto"/>
            </w:tcBorders>
            <w:shd w:val="clear" w:color="000000" w:fill="D9D9D9"/>
            <w:vAlign w:val="center"/>
            <w:hideMark/>
          </w:tcPr>
          <w:p w14:paraId="33EBEA8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2.756</w:t>
            </w:r>
          </w:p>
        </w:tc>
        <w:tc>
          <w:tcPr>
            <w:tcW w:w="966" w:type="dxa"/>
            <w:tcBorders>
              <w:top w:val="nil"/>
              <w:left w:val="nil"/>
              <w:bottom w:val="single" w:sz="4" w:space="0" w:color="auto"/>
              <w:right w:val="single" w:sz="4" w:space="0" w:color="auto"/>
            </w:tcBorders>
            <w:shd w:val="clear" w:color="000000" w:fill="D9D9D9"/>
            <w:vAlign w:val="center"/>
            <w:hideMark/>
          </w:tcPr>
          <w:p w14:paraId="7C8FF20F"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8.38%</w:t>
            </w:r>
          </w:p>
        </w:tc>
        <w:tc>
          <w:tcPr>
            <w:tcW w:w="884" w:type="dxa"/>
            <w:tcBorders>
              <w:top w:val="nil"/>
              <w:left w:val="nil"/>
              <w:bottom w:val="single" w:sz="4" w:space="0" w:color="auto"/>
              <w:right w:val="single" w:sz="4" w:space="0" w:color="auto"/>
            </w:tcBorders>
            <w:shd w:val="clear" w:color="000000" w:fill="D9D9D9"/>
            <w:vAlign w:val="center"/>
            <w:hideMark/>
          </w:tcPr>
          <w:p w14:paraId="3946272E"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3.559</w:t>
            </w:r>
          </w:p>
        </w:tc>
      </w:tr>
    </w:tbl>
    <w:p w14:paraId="3A36A558" w14:textId="77777777" w:rsidR="00D10794" w:rsidRPr="00C529BF" w:rsidRDefault="00D10794" w:rsidP="00D10794">
      <w:pPr>
        <w:autoSpaceDE/>
        <w:autoSpaceDN/>
        <w:adjustRightInd/>
        <w:spacing w:after="0"/>
        <w:jc w:val="left"/>
        <w:rPr>
          <w:b/>
          <w:highlight w:val="yellow"/>
        </w:rPr>
      </w:pPr>
    </w:p>
    <w:p w14:paraId="799B5E43" w14:textId="2790C6F5" w:rsidR="00D10794" w:rsidRDefault="00D10794" w:rsidP="00D10794">
      <w:pPr>
        <w:spacing w:after="0"/>
        <w:rPr>
          <w:rFonts w:cs="Arial"/>
          <w:b/>
        </w:rPr>
      </w:pPr>
      <w:r w:rsidRPr="000D399D">
        <w:rPr>
          <w:rFonts w:cs="Arial"/>
          <w:b/>
        </w:rPr>
        <w:t>Strategy and Performance - overspend £</w:t>
      </w:r>
      <w:r>
        <w:rPr>
          <w:rFonts w:cs="Arial"/>
          <w:b/>
        </w:rPr>
        <w:t>2</w:t>
      </w:r>
      <w:r w:rsidRPr="000D399D">
        <w:rPr>
          <w:rFonts w:cs="Arial"/>
          <w:b/>
        </w:rPr>
        <w:t>.756m</w:t>
      </w:r>
    </w:p>
    <w:p w14:paraId="587C376F" w14:textId="17384054" w:rsidR="00D10794" w:rsidRDefault="00D10794" w:rsidP="00D10794">
      <w:pPr>
        <w:spacing w:after="0"/>
        <w:rPr>
          <w:rFonts w:cs="Arial"/>
        </w:rPr>
      </w:pPr>
      <w:r w:rsidRPr="000D399D">
        <w:rPr>
          <w:rFonts w:cs="Arial"/>
        </w:rPr>
        <w:t>Strategy and performance services has been apportioned £0.1</w:t>
      </w:r>
      <w:r>
        <w:rPr>
          <w:rFonts w:cs="Arial"/>
        </w:rPr>
        <w:t>18</w:t>
      </w:r>
      <w:r w:rsidRPr="000D399D">
        <w:rPr>
          <w:rFonts w:cs="Arial"/>
        </w:rPr>
        <w:t xml:space="preserve">m of the emergency funding provided by government in respect of the Coronavirus financial pressures. </w:t>
      </w:r>
    </w:p>
    <w:p w14:paraId="30678A59" w14:textId="77777777" w:rsidR="00D10794" w:rsidRPr="00BC70A2" w:rsidRDefault="00D10794" w:rsidP="00D10794">
      <w:pPr>
        <w:spacing w:after="0"/>
        <w:rPr>
          <w:rFonts w:cs="Arial"/>
          <w:b/>
          <w:highlight w:val="green"/>
        </w:rPr>
      </w:pPr>
    </w:p>
    <w:p w14:paraId="0F3336D3" w14:textId="77777777" w:rsidR="00D10794" w:rsidRPr="000D399D" w:rsidRDefault="00D10794" w:rsidP="00D10794">
      <w:pPr>
        <w:spacing w:after="0"/>
        <w:rPr>
          <w:rFonts w:cs="Arial"/>
          <w:b/>
        </w:rPr>
      </w:pPr>
      <w:r w:rsidRPr="000D399D">
        <w:rPr>
          <w:rFonts w:cs="Arial"/>
          <w:b/>
        </w:rPr>
        <w:t xml:space="preserve">Asset Management – underspend £201,000 </w:t>
      </w:r>
    </w:p>
    <w:p w14:paraId="3ACB02DC" w14:textId="77777777" w:rsidR="00D10794" w:rsidRPr="000D399D" w:rsidRDefault="00D10794" w:rsidP="00D10794">
      <w:pPr>
        <w:spacing w:after="0"/>
        <w:rPr>
          <w:rFonts w:cs="Arial"/>
        </w:rPr>
      </w:pPr>
      <w:r>
        <w:rPr>
          <w:rFonts w:cs="Arial"/>
        </w:rPr>
        <w:t>The outturn position predominantly relates to s</w:t>
      </w:r>
      <w:r w:rsidRPr="000D399D">
        <w:rPr>
          <w:rFonts w:cs="Arial"/>
        </w:rPr>
        <w:t>treet lighting energy</w:t>
      </w:r>
      <w:r>
        <w:rPr>
          <w:rFonts w:cs="Arial"/>
        </w:rPr>
        <w:t xml:space="preserve">. There have been underspends brought about by energy supply contract changes. However, </w:t>
      </w:r>
      <w:r w:rsidRPr="000D399D">
        <w:rPr>
          <w:rFonts w:cs="Arial"/>
        </w:rPr>
        <w:t>Government funded works to replace streetlights with LEDs w</w:t>
      </w:r>
      <w:r>
        <w:rPr>
          <w:rFonts w:cs="Arial"/>
        </w:rPr>
        <w:t>ere</w:t>
      </w:r>
      <w:r w:rsidRPr="000D399D">
        <w:rPr>
          <w:rFonts w:cs="Arial"/>
        </w:rPr>
        <w:t xml:space="preserve"> delayed due to Covid-19.  Whilst the programme has resumed, consumption </w:t>
      </w:r>
      <w:r>
        <w:rPr>
          <w:rFonts w:cs="Arial"/>
        </w:rPr>
        <w:t>was</w:t>
      </w:r>
      <w:r w:rsidRPr="000D399D">
        <w:rPr>
          <w:rFonts w:cs="Arial"/>
        </w:rPr>
        <w:t xml:space="preserve"> higher than otherwise would have been the case.  </w:t>
      </w:r>
    </w:p>
    <w:p w14:paraId="19399355" w14:textId="77777777" w:rsidR="00D10794" w:rsidRPr="00BC70A2" w:rsidRDefault="00D10794" w:rsidP="00D10794">
      <w:pPr>
        <w:spacing w:after="0"/>
        <w:rPr>
          <w:rFonts w:cs="Arial"/>
          <w:b/>
          <w:highlight w:val="green"/>
        </w:rPr>
      </w:pPr>
    </w:p>
    <w:p w14:paraId="50D5DC73" w14:textId="77777777" w:rsidR="00D10794" w:rsidRPr="000D399D" w:rsidRDefault="00D10794" w:rsidP="00D10794">
      <w:pPr>
        <w:spacing w:after="0"/>
        <w:rPr>
          <w:rFonts w:cs="Arial"/>
        </w:rPr>
      </w:pPr>
      <w:r w:rsidRPr="000D399D">
        <w:rPr>
          <w:rFonts w:cs="Arial"/>
          <w:b/>
        </w:rPr>
        <w:t>Facilities Management - overspend £2.895m</w:t>
      </w:r>
    </w:p>
    <w:p w14:paraId="377706F0" w14:textId="77777777" w:rsidR="00D10794" w:rsidRDefault="00D10794" w:rsidP="00D10794">
      <w:pPr>
        <w:spacing w:after="0"/>
        <w:rPr>
          <w:rFonts w:cs="Arial"/>
        </w:rPr>
      </w:pPr>
      <w:r w:rsidRPr="000D399D">
        <w:rPr>
          <w:rFonts w:cs="Arial"/>
        </w:rPr>
        <w:t xml:space="preserve">Most parts of the facilities management budget </w:t>
      </w:r>
      <w:r>
        <w:rPr>
          <w:rFonts w:cs="Arial"/>
        </w:rPr>
        <w:t>were</w:t>
      </w:r>
      <w:r w:rsidRPr="000D399D">
        <w:rPr>
          <w:rFonts w:cs="Arial"/>
        </w:rPr>
        <w:t xml:space="preserve"> affected financially by Covid-19. School catering has overspent by £4.238m which </w:t>
      </w:r>
      <w:r>
        <w:rPr>
          <w:rFonts w:cs="Arial"/>
        </w:rPr>
        <w:t xml:space="preserve">mainly </w:t>
      </w:r>
      <w:r w:rsidRPr="000D399D">
        <w:rPr>
          <w:rFonts w:cs="Arial"/>
        </w:rPr>
        <w:t>relates to lower income charge to schools. A further income pressure has been incurred of £246,000 relating to staff and civic catering as these facilities have been closed for the whole of 2020/21. Partly offsetting these are underspend</w:t>
      </w:r>
      <w:r>
        <w:rPr>
          <w:rFonts w:cs="Arial"/>
        </w:rPr>
        <w:t>s</w:t>
      </w:r>
      <w:r w:rsidRPr="000D399D">
        <w:rPr>
          <w:rFonts w:cs="Arial"/>
        </w:rPr>
        <w:t xml:space="preserve"> on premises running costs and repairs and maintenance due to a number of sites having been closed and the remainder being significantly less occupied which </w:t>
      </w:r>
      <w:r>
        <w:rPr>
          <w:rFonts w:cs="Arial"/>
        </w:rPr>
        <w:t>has resulted in</w:t>
      </w:r>
      <w:r w:rsidRPr="000D399D">
        <w:rPr>
          <w:rFonts w:cs="Arial"/>
        </w:rPr>
        <w:t xml:space="preserve"> underspends of £2.858m.</w:t>
      </w:r>
    </w:p>
    <w:p w14:paraId="6C51F2E3" w14:textId="77777777" w:rsidR="00D10794" w:rsidRDefault="00D10794" w:rsidP="00D10794">
      <w:pPr>
        <w:spacing w:after="0"/>
        <w:rPr>
          <w:rFonts w:cs="Arial"/>
        </w:rPr>
      </w:pPr>
    </w:p>
    <w:p w14:paraId="1EDFD62B" w14:textId="77777777" w:rsidR="00D10794" w:rsidRPr="000D399D" w:rsidRDefault="00D10794" w:rsidP="00D10794">
      <w:pPr>
        <w:autoSpaceDE/>
        <w:autoSpaceDN/>
        <w:adjustRightInd/>
        <w:spacing w:after="0"/>
        <w:rPr>
          <w:rFonts w:cs="Arial"/>
        </w:rPr>
      </w:pPr>
      <w:r w:rsidRPr="000D399D">
        <w:rPr>
          <w:rFonts w:cs="Arial"/>
        </w:rPr>
        <w:t>The outturn position also includes a transfer of £1.350m to reserves for accommodation costs in 2021/22.</w:t>
      </w:r>
    </w:p>
    <w:p w14:paraId="0C27F216" w14:textId="77777777" w:rsidR="00D10794" w:rsidRDefault="00D10794" w:rsidP="00D10794">
      <w:pPr>
        <w:spacing w:after="0"/>
        <w:rPr>
          <w:rFonts w:cs="Arial"/>
          <w:b/>
          <w:bCs/>
        </w:rPr>
      </w:pPr>
    </w:p>
    <w:p w14:paraId="737EEDE3" w14:textId="77777777" w:rsidR="00D10794" w:rsidRDefault="00D10794" w:rsidP="00D10794">
      <w:pPr>
        <w:spacing w:after="0"/>
        <w:rPr>
          <w:rFonts w:cs="Arial"/>
          <w:b/>
          <w:bCs/>
        </w:rPr>
      </w:pPr>
      <w:r w:rsidRPr="000D399D">
        <w:rPr>
          <w:rFonts w:cs="Arial"/>
          <w:b/>
          <w:bCs/>
        </w:rPr>
        <w:t xml:space="preserve">Business Intelligence </w:t>
      </w:r>
      <w:r>
        <w:rPr>
          <w:rFonts w:cs="Arial"/>
          <w:b/>
          <w:bCs/>
        </w:rPr>
        <w:t>– overspend £264,000</w:t>
      </w:r>
    </w:p>
    <w:p w14:paraId="67790AA2" w14:textId="77777777" w:rsidR="00D10794" w:rsidRDefault="00D10794" w:rsidP="00D10794">
      <w:pPr>
        <w:spacing w:after="0"/>
        <w:rPr>
          <w:rFonts w:cs="Arial"/>
        </w:rPr>
      </w:pPr>
      <w:r w:rsidRPr="5D4EE77C">
        <w:rPr>
          <w:rFonts w:cs="Arial"/>
        </w:rPr>
        <w:t xml:space="preserve">The outturn predominantly relates to a transfer </w:t>
      </w:r>
      <w:r>
        <w:rPr>
          <w:rFonts w:cs="Arial"/>
        </w:rPr>
        <w:t xml:space="preserve">of </w:t>
      </w:r>
      <w:r w:rsidRPr="5D4EE77C">
        <w:rPr>
          <w:rFonts w:cs="Arial"/>
        </w:rPr>
        <w:t xml:space="preserve">£300,000 to reserves to be spent in 2021/22 on business intelligence analysis software </w:t>
      </w:r>
      <w:r w:rsidRPr="002369AA">
        <w:rPr>
          <w:rFonts w:cs="Arial"/>
        </w:rPr>
        <w:t>which will benefit many services across the county council.</w:t>
      </w:r>
      <w:r>
        <w:rPr>
          <w:rFonts w:cs="Arial"/>
        </w:rPr>
        <w:t xml:space="preserve"> </w:t>
      </w:r>
      <w:r w:rsidRPr="002F471D">
        <w:rPr>
          <w:rFonts w:cs="Arial"/>
        </w:rPr>
        <w:t>Aside from this investment the service was underspent across</w:t>
      </w:r>
      <w:r>
        <w:rPr>
          <w:rFonts w:cs="Arial"/>
        </w:rPr>
        <w:t xml:space="preserve"> </w:t>
      </w:r>
      <w:proofErr w:type="gramStart"/>
      <w:r>
        <w:rPr>
          <w:rFonts w:cs="Arial"/>
        </w:rPr>
        <w:t>a number of</w:t>
      </w:r>
      <w:proofErr w:type="gramEnd"/>
      <w:r>
        <w:rPr>
          <w:rFonts w:cs="Arial"/>
        </w:rPr>
        <w:t xml:space="preserve"> areas.</w:t>
      </w:r>
    </w:p>
    <w:p w14:paraId="2999DBB8" w14:textId="77777777" w:rsidR="00D10794" w:rsidRPr="000D399D" w:rsidRDefault="00D10794" w:rsidP="00D10794">
      <w:pPr>
        <w:spacing w:after="0"/>
        <w:rPr>
          <w:rFonts w:cs="Arial"/>
        </w:rPr>
      </w:pPr>
    </w:p>
    <w:p w14:paraId="0E8EE6C8" w14:textId="782D7D6B" w:rsidR="00D10794" w:rsidRDefault="00D10794" w:rsidP="00D10794">
      <w:pPr>
        <w:spacing w:after="0"/>
        <w:rPr>
          <w:rFonts w:eastAsia="Times New Roman" w:cs="Arial"/>
          <w:b/>
          <w:highlight w:val="yellow"/>
          <w:lang w:eastAsia="en-GB"/>
        </w:rPr>
      </w:pPr>
    </w:p>
    <w:p w14:paraId="0431589A" w14:textId="77777777" w:rsidR="002A1E86" w:rsidRDefault="002A1E86" w:rsidP="00D10794">
      <w:pPr>
        <w:spacing w:after="0"/>
        <w:rPr>
          <w:rFonts w:eastAsia="Times New Roman" w:cs="Arial"/>
          <w:b/>
          <w:highlight w:val="yellow"/>
          <w:lang w:eastAsia="en-GB"/>
        </w:rPr>
      </w:pPr>
    </w:p>
    <w:p w14:paraId="1B383E55" w14:textId="77777777" w:rsidR="00D10794" w:rsidRDefault="00D10794" w:rsidP="00D10794">
      <w:pPr>
        <w:spacing w:after="0"/>
        <w:rPr>
          <w:rFonts w:eastAsia="Times New Roman" w:cs="Arial"/>
          <w:b/>
          <w:highlight w:val="yellow"/>
          <w:lang w:eastAsia="en-GB"/>
        </w:rPr>
      </w:pPr>
    </w:p>
    <w:p w14:paraId="57BBF4C8" w14:textId="77777777" w:rsidR="00D10794" w:rsidRDefault="00D10794" w:rsidP="00D10794">
      <w:pPr>
        <w:spacing w:after="0"/>
        <w:rPr>
          <w:rFonts w:eastAsia="Times New Roman" w:cs="Arial"/>
          <w:b/>
          <w:highlight w:val="yellow"/>
          <w:lang w:eastAsia="en-GB"/>
        </w:rPr>
      </w:pPr>
    </w:p>
    <w:p w14:paraId="60AA7572" w14:textId="640883C5" w:rsidR="00D10794" w:rsidRDefault="00D10794" w:rsidP="00D10794">
      <w:pPr>
        <w:spacing w:after="0"/>
        <w:rPr>
          <w:rFonts w:eastAsia="Times New Roman" w:cs="Arial"/>
          <w:b/>
          <w:highlight w:val="yellow"/>
          <w:lang w:eastAsia="en-GB"/>
        </w:rPr>
      </w:pPr>
    </w:p>
    <w:p w14:paraId="35B411AE" w14:textId="58171661" w:rsidR="00C42640" w:rsidRDefault="00C42640" w:rsidP="00D10794">
      <w:pPr>
        <w:spacing w:after="0"/>
        <w:rPr>
          <w:rFonts w:eastAsia="Times New Roman" w:cs="Arial"/>
          <w:b/>
          <w:highlight w:val="yellow"/>
          <w:lang w:eastAsia="en-GB"/>
        </w:rPr>
      </w:pPr>
    </w:p>
    <w:p w14:paraId="08C25CBC" w14:textId="77777777" w:rsidR="00C42640" w:rsidRDefault="00C42640" w:rsidP="00D10794">
      <w:pPr>
        <w:spacing w:after="0"/>
        <w:rPr>
          <w:rFonts w:eastAsia="Times New Roman" w:cs="Arial"/>
          <w:b/>
          <w:highlight w:val="yellow"/>
          <w:lang w:eastAsia="en-GB"/>
        </w:rPr>
      </w:pPr>
    </w:p>
    <w:p w14:paraId="0668799F" w14:textId="77777777" w:rsidR="00D10794" w:rsidRPr="00C529BF" w:rsidRDefault="00D10794" w:rsidP="00D10794">
      <w:pPr>
        <w:spacing w:after="0"/>
        <w:rPr>
          <w:rFonts w:eastAsia="Times New Roman" w:cs="Arial"/>
          <w:b/>
          <w:highlight w:val="yellow"/>
          <w:lang w:eastAsia="en-GB"/>
        </w:rPr>
      </w:pPr>
    </w:p>
    <w:p w14:paraId="710E8F1E" w14:textId="77777777" w:rsidR="00D10794" w:rsidRPr="00B90474" w:rsidRDefault="00D10794" w:rsidP="00D10794">
      <w:pPr>
        <w:spacing w:after="0"/>
        <w:rPr>
          <w:rFonts w:cs="Arial"/>
          <w:b/>
        </w:rPr>
      </w:pPr>
      <w:r w:rsidRPr="00B90474">
        <w:rPr>
          <w:rFonts w:eastAsia="Times New Roman" w:cs="Arial"/>
          <w:b/>
          <w:lang w:eastAsia="en-GB"/>
        </w:rPr>
        <w:lastRenderedPageBreak/>
        <w:t>3.12</w:t>
      </w:r>
      <w:r w:rsidRPr="00B90474">
        <w:rPr>
          <w:rFonts w:eastAsia="Times New Roman" w:cs="Arial"/>
          <w:b/>
          <w:lang w:eastAsia="en-GB"/>
        </w:rPr>
        <w:tab/>
      </w:r>
      <w:r w:rsidRPr="00B90474">
        <w:rPr>
          <w:rFonts w:cs="Arial"/>
          <w:b/>
        </w:rPr>
        <w:t>Chief Executive Services</w:t>
      </w:r>
    </w:p>
    <w:p w14:paraId="5695613E" w14:textId="77777777" w:rsidR="00D10794" w:rsidRPr="00C529BF" w:rsidRDefault="00D10794" w:rsidP="00D10794">
      <w:pPr>
        <w:autoSpaceDE/>
        <w:autoSpaceDN/>
        <w:adjustRightInd/>
        <w:spacing w:after="0"/>
        <w:rPr>
          <w:rFonts w:cs="Arial"/>
          <w:highlight w:val="yellow"/>
        </w:rPr>
      </w:pPr>
    </w:p>
    <w:tbl>
      <w:tblPr>
        <w:tblW w:w="8914" w:type="dxa"/>
        <w:tblLook w:val="04A0" w:firstRow="1" w:lastRow="0" w:firstColumn="1" w:lastColumn="0" w:noHBand="0" w:noVBand="1"/>
      </w:tblPr>
      <w:tblGrid>
        <w:gridCol w:w="3541"/>
        <w:gridCol w:w="1150"/>
        <w:gridCol w:w="1053"/>
        <w:gridCol w:w="1070"/>
        <w:gridCol w:w="1050"/>
        <w:gridCol w:w="1050"/>
      </w:tblGrid>
      <w:tr w:rsidR="002F12B1" w14:paraId="4A3D8C72" w14:textId="77777777" w:rsidTr="00D10794">
        <w:trPr>
          <w:trHeight w:val="782"/>
        </w:trPr>
        <w:tc>
          <w:tcPr>
            <w:tcW w:w="3888" w:type="dxa"/>
            <w:tcBorders>
              <w:top w:val="single" w:sz="4" w:space="0" w:color="auto"/>
              <w:left w:val="single" w:sz="4" w:space="0" w:color="auto"/>
              <w:bottom w:val="nil"/>
              <w:right w:val="single" w:sz="4" w:space="0" w:color="auto"/>
            </w:tcBorders>
            <w:shd w:val="clear" w:color="000000" w:fill="D9D9D9"/>
            <w:vAlign w:val="center"/>
            <w:hideMark/>
          </w:tcPr>
          <w:p w14:paraId="3BC05E5E" w14:textId="77777777" w:rsidR="00D10794" w:rsidRPr="00B90474" w:rsidRDefault="00D10794" w:rsidP="00D10794">
            <w:pPr>
              <w:autoSpaceDE/>
              <w:autoSpaceDN/>
              <w:adjustRightInd/>
              <w:spacing w:after="0"/>
              <w:jc w:val="left"/>
              <w:rPr>
                <w:rFonts w:eastAsia="Times New Roman" w:cs="Arial"/>
                <w:b/>
                <w:bCs/>
                <w:sz w:val="20"/>
                <w:szCs w:val="20"/>
                <w:lang w:eastAsia="en-GB"/>
              </w:rPr>
            </w:pP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14:paraId="5DF103A1"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Approved Net Budget </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14:paraId="02251C4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 xml:space="preserve">Net Outturn </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14:paraId="64BA424E"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942" w:type="dxa"/>
            <w:tcBorders>
              <w:top w:val="single" w:sz="4" w:space="0" w:color="auto"/>
              <w:left w:val="nil"/>
              <w:bottom w:val="single" w:sz="4" w:space="0" w:color="auto"/>
              <w:right w:val="single" w:sz="4" w:space="0" w:color="auto"/>
            </w:tcBorders>
            <w:shd w:val="clear" w:color="000000" w:fill="D9D9D9"/>
            <w:vAlign w:val="center"/>
            <w:hideMark/>
          </w:tcPr>
          <w:p w14:paraId="588E8FDD"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Net Outturn Variance</w:t>
            </w:r>
          </w:p>
        </w:tc>
        <w:tc>
          <w:tcPr>
            <w:tcW w:w="862" w:type="dxa"/>
            <w:tcBorders>
              <w:top w:val="single" w:sz="4" w:space="0" w:color="auto"/>
              <w:left w:val="nil"/>
              <w:bottom w:val="single" w:sz="4" w:space="0" w:color="auto"/>
              <w:right w:val="single" w:sz="4" w:space="0" w:color="auto"/>
            </w:tcBorders>
            <w:shd w:val="clear" w:color="000000" w:fill="D9D9D9"/>
            <w:vAlign w:val="center"/>
            <w:hideMark/>
          </w:tcPr>
          <w:p w14:paraId="703206D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Q3 Forecast Variance</w:t>
            </w:r>
          </w:p>
        </w:tc>
      </w:tr>
      <w:tr w:rsidR="002F12B1" w14:paraId="7039A49D"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3641D48C"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 </w:t>
            </w:r>
          </w:p>
        </w:tc>
        <w:tc>
          <w:tcPr>
            <w:tcW w:w="1074" w:type="dxa"/>
            <w:tcBorders>
              <w:top w:val="nil"/>
              <w:left w:val="nil"/>
              <w:bottom w:val="single" w:sz="4" w:space="0" w:color="auto"/>
              <w:right w:val="single" w:sz="4" w:space="0" w:color="auto"/>
            </w:tcBorders>
            <w:shd w:val="clear" w:color="000000" w:fill="D9D9D9"/>
            <w:vAlign w:val="center"/>
            <w:hideMark/>
          </w:tcPr>
          <w:p w14:paraId="1683BE40"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74" w:type="dxa"/>
            <w:tcBorders>
              <w:top w:val="nil"/>
              <w:left w:val="nil"/>
              <w:bottom w:val="single" w:sz="4" w:space="0" w:color="auto"/>
              <w:right w:val="single" w:sz="4" w:space="0" w:color="auto"/>
            </w:tcBorders>
            <w:shd w:val="clear" w:color="000000" w:fill="D9D9D9"/>
            <w:vAlign w:val="center"/>
            <w:hideMark/>
          </w:tcPr>
          <w:p w14:paraId="57266A5A"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1074" w:type="dxa"/>
            <w:tcBorders>
              <w:top w:val="nil"/>
              <w:left w:val="nil"/>
              <w:bottom w:val="single" w:sz="4" w:space="0" w:color="auto"/>
              <w:right w:val="single" w:sz="4" w:space="0" w:color="auto"/>
            </w:tcBorders>
            <w:shd w:val="clear" w:color="000000" w:fill="D9D9D9"/>
            <w:vAlign w:val="center"/>
            <w:hideMark/>
          </w:tcPr>
          <w:p w14:paraId="77CAD502"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c>
          <w:tcPr>
            <w:tcW w:w="942" w:type="dxa"/>
            <w:tcBorders>
              <w:top w:val="nil"/>
              <w:left w:val="nil"/>
              <w:bottom w:val="single" w:sz="4" w:space="0" w:color="auto"/>
              <w:right w:val="single" w:sz="4" w:space="0" w:color="auto"/>
            </w:tcBorders>
            <w:shd w:val="clear" w:color="000000" w:fill="D9D9D9"/>
            <w:vAlign w:val="center"/>
            <w:hideMark/>
          </w:tcPr>
          <w:p w14:paraId="3B5AB785"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w:t>
            </w:r>
          </w:p>
        </w:tc>
        <w:tc>
          <w:tcPr>
            <w:tcW w:w="862" w:type="dxa"/>
            <w:tcBorders>
              <w:top w:val="nil"/>
              <w:left w:val="nil"/>
              <w:bottom w:val="single" w:sz="4" w:space="0" w:color="auto"/>
              <w:right w:val="single" w:sz="4" w:space="0" w:color="auto"/>
            </w:tcBorders>
            <w:shd w:val="clear" w:color="000000" w:fill="D9D9D9"/>
            <w:vAlign w:val="center"/>
            <w:hideMark/>
          </w:tcPr>
          <w:p w14:paraId="223F44A8" w14:textId="77777777" w:rsidR="00D10794" w:rsidRPr="00B90474" w:rsidRDefault="00D10794" w:rsidP="00D10794">
            <w:pPr>
              <w:autoSpaceDE/>
              <w:autoSpaceDN/>
              <w:adjustRightInd/>
              <w:spacing w:after="0"/>
              <w:jc w:val="center"/>
              <w:rPr>
                <w:rFonts w:eastAsia="Times New Roman" w:cs="Arial"/>
                <w:b/>
                <w:bCs/>
                <w:sz w:val="20"/>
                <w:szCs w:val="20"/>
                <w:lang w:eastAsia="en-GB"/>
              </w:rPr>
            </w:pPr>
            <w:r w:rsidRPr="00B90474">
              <w:rPr>
                <w:rFonts w:eastAsia="Times New Roman" w:cs="Arial"/>
                <w:b/>
                <w:bCs/>
                <w:sz w:val="20"/>
                <w:szCs w:val="20"/>
                <w:lang w:eastAsia="en-GB"/>
              </w:rPr>
              <w:t>£m</w:t>
            </w:r>
          </w:p>
        </w:tc>
      </w:tr>
      <w:tr w:rsidR="002F12B1" w14:paraId="3FAECED0"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6E6D151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Chief Executive</w:t>
            </w:r>
          </w:p>
        </w:tc>
        <w:tc>
          <w:tcPr>
            <w:tcW w:w="1074" w:type="dxa"/>
            <w:tcBorders>
              <w:top w:val="nil"/>
              <w:left w:val="nil"/>
              <w:bottom w:val="single" w:sz="4" w:space="0" w:color="auto"/>
              <w:right w:val="single" w:sz="4" w:space="0" w:color="auto"/>
            </w:tcBorders>
            <w:shd w:val="clear" w:color="auto" w:fill="auto"/>
            <w:vAlign w:val="center"/>
            <w:hideMark/>
          </w:tcPr>
          <w:p w14:paraId="69CF0F8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2.563</w:t>
            </w:r>
          </w:p>
        </w:tc>
        <w:tc>
          <w:tcPr>
            <w:tcW w:w="1074" w:type="dxa"/>
            <w:tcBorders>
              <w:top w:val="nil"/>
              <w:left w:val="nil"/>
              <w:bottom w:val="single" w:sz="4" w:space="0" w:color="auto"/>
              <w:right w:val="single" w:sz="4" w:space="0" w:color="auto"/>
            </w:tcBorders>
            <w:shd w:val="clear" w:color="auto" w:fill="auto"/>
            <w:vAlign w:val="center"/>
            <w:hideMark/>
          </w:tcPr>
          <w:p w14:paraId="4792EDAE"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1.907</w:t>
            </w:r>
          </w:p>
        </w:tc>
        <w:tc>
          <w:tcPr>
            <w:tcW w:w="1074" w:type="dxa"/>
            <w:tcBorders>
              <w:top w:val="nil"/>
              <w:left w:val="nil"/>
              <w:bottom w:val="single" w:sz="4" w:space="0" w:color="auto"/>
              <w:right w:val="single" w:sz="4" w:space="0" w:color="auto"/>
            </w:tcBorders>
            <w:shd w:val="clear" w:color="000000" w:fill="D9D9D9"/>
            <w:vAlign w:val="center"/>
            <w:hideMark/>
          </w:tcPr>
          <w:p w14:paraId="6AB504E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-0.656</w:t>
            </w:r>
          </w:p>
        </w:tc>
        <w:tc>
          <w:tcPr>
            <w:tcW w:w="942" w:type="dxa"/>
            <w:tcBorders>
              <w:top w:val="nil"/>
              <w:left w:val="nil"/>
              <w:bottom w:val="single" w:sz="4" w:space="0" w:color="auto"/>
              <w:right w:val="single" w:sz="4" w:space="0" w:color="auto"/>
            </w:tcBorders>
            <w:shd w:val="clear" w:color="auto" w:fill="auto"/>
            <w:vAlign w:val="center"/>
            <w:hideMark/>
          </w:tcPr>
          <w:p w14:paraId="3D8AD45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-25.60%</w:t>
            </w:r>
          </w:p>
        </w:tc>
        <w:tc>
          <w:tcPr>
            <w:tcW w:w="862" w:type="dxa"/>
            <w:tcBorders>
              <w:top w:val="nil"/>
              <w:left w:val="nil"/>
              <w:bottom w:val="single" w:sz="4" w:space="0" w:color="auto"/>
              <w:right w:val="single" w:sz="4" w:space="0" w:color="auto"/>
            </w:tcBorders>
            <w:shd w:val="clear" w:color="000000" w:fill="D9D9D9"/>
            <w:vAlign w:val="center"/>
            <w:hideMark/>
          </w:tcPr>
          <w:p w14:paraId="1200B1B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0.113</w:t>
            </w:r>
          </w:p>
        </w:tc>
      </w:tr>
      <w:tr w:rsidR="002F12B1" w14:paraId="7A9D4FF7"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3040DBC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Communications</w:t>
            </w:r>
          </w:p>
        </w:tc>
        <w:tc>
          <w:tcPr>
            <w:tcW w:w="1074" w:type="dxa"/>
            <w:tcBorders>
              <w:top w:val="nil"/>
              <w:left w:val="nil"/>
              <w:bottom w:val="single" w:sz="4" w:space="0" w:color="auto"/>
              <w:right w:val="single" w:sz="4" w:space="0" w:color="auto"/>
            </w:tcBorders>
            <w:shd w:val="clear" w:color="auto" w:fill="auto"/>
            <w:vAlign w:val="center"/>
            <w:hideMark/>
          </w:tcPr>
          <w:p w14:paraId="433C2F7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1.043</w:t>
            </w:r>
          </w:p>
        </w:tc>
        <w:tc>
          <w:tcPr>
            <w:tcW w:w="1074" w:type="dxa"/>
            <w:tcBorders>
              <w:top w:val="nil"/>
              <w:left w:val="nil"/>
              <w:bottom w:val="single" w:sz="4" w:space="0" w:color="auto"/>
              <w:right w:val="single" w:sz="4" w:space="0" w:color="auto"/>
            </w:tcBorders>
            <w:shd w:val="clear" w:color="auto" w:fill="auto"/>
            <w:vAlign w:val="center"/>
            <w:hideMark/>
          </w:tcPr>
          <w:p w14:paraId="76F4ED3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1.012</w:t>
            </w:r>
          </w:p>
        </w:tc>
        <w:tc>
          <w:tcPr>
            <w:tcW w:w="1074" w:type="dxa"/>
            <w:tcBorders>
              <w:top w:val="nil"/>
              <w:left w:val="nil"/>
              <w:bottom w:val="single" w:sz="4" w:space="0" w:color="auto"/>
              <w:right w:val="single" w:sz="4" w:space="0" w:color="auto"/>
            </w:tcBorders>
            <w:shd w:val="clear" w:color="000000" w:fill="D9D9D9"/>
            <w:vAlign w:val="center"/>
            <w:hideMark/>
          </w:tcPr>
          <w:p w14:paraId="2D3C8DA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-0.031</w:t>
            </w:r>
          </w:p>
        </w:tc>
        <w:tc>
          <w:tcPr>
            <w:tcW w:w="942" w:type="dxa"/>
            <w:tcBorders>
              <w:top w:val="nil"/>
              <w:left w:val="nil"/>
              <w:bottom w:val="single" w:sz="4" w:space="0" w:color="auto"/>
              <w:right w:val="single" w:sz="4" w:space="0" w:color="auto"/>
            </w:tcBorders>
            <w:shd w:val="clear" w:color="auto" w:fill="auto"/>
            <w:vAlign w:val="center"/>
            <w:hideMark/>
          </w:tcPr>
          <w:p w14:paraId="071213B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-2.97%</w:t>
            </w:r>
          </w:p>
        </w:tc>
        <w:tc>
          <w:tcPr>
            <w:tcW w:w="862" w:type="dxa"/>
            <w:tcBorders>
              <w:top w:val="nil"/>
              <w:left w:val="nil"/>
              <w:bottom w:val="single" w:sz="4" w:space="0" w:color="auto"/>
              <w:right w:val="single" w:sz="4" w:space="0" w:color="auto"/>
            </w:tcBorders>
            <w:shd w:val="clear" w:color="000000" w:fill="D9D9D9"/>
            <w:vAlign w:val="center"/>
            <w:hideMark/>
          </w:tcPr>
          <w:p w14:paraId="5B8AE5C3"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0.065</w:t>
            </w:r>
          </w:p>
        </w:tc>
      </w:tr>
      <w:tr w:rsidR="002F12B1" w14:paraId="24D1BEDD"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0011A6AD"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Corporate Budgets (Funding and Grants)</w:t>
            </w:r>
          </w:p>
        </w:tc>
        <w:tc>
          <w:tcPr>
            <w:tcW w:w="1074" w:type="dxa"/>
            <w:tcBorders>
              <w:top w:val="nil"/>
              <w:left w:val="nil"/>
              <w:bottom w:val="single" w:sz="4" w:space="0" w:color="auto"/>
              <w:right w:val="single" w:sz="4" w:space="0" w:color="auto"/>
            </w:tcBorders>
            <w:shd w:val="clear" w:color="auto" w:fill="auto"/>
            <w:vAlign w:val="center"/>
            <w:hideMark/>
          </w:tcPr>
          <w:p w14:paraId="4033FCB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1.546</w:t>
            </w:r>
          </w:p>
        </w:tc>
        <w:tc>
          <w:tcPr>
            <w:tcW w:w="1074" w:type="dxa"/>
            <w:tcBorders>
              <w:top w:val="nil"/>
              <w:left w:val="nil"/>
              <w:bottom w:val="single" w:sz="4" w:space="0" w:color="auto"/>
              <w:right w:val="single" w:sz="4" w:space="0" w:color="auto"/>
            </w:tcBorders>
            <w:shd w:val="clear" w:color="auto" w:fill="auto"/>
            <w:vAlign w:val="center"/>
            <w:hideMark/>
          </w:tcPr>
          <w:p w14:paraId="25729EF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10.748</w:t>
            </w:r>
          </w:p>
        </w:tc>
        <w:tc>
          <w:tcPr>
            <w:tcW w:w="1074" w:type="dxa"/>
            <w:tcBorders>
              <w:top w:val="nil"/>
              <w:left w:val="nil"/>
              <w:bottom w:val="single" w:sz="4" w:space="0" w:color="auto"/>
              <w:right w:val="single" w:sz="4" w:space="0" w:color="auto"/>
            </w:tcBorders>
            <w:shd w:val="clear" w:color="000000" w:fill="D9D9D9"/>
            <w:vAlign w:val="center"/>
            <w:hideMark/>
          </w:tcPr>
          <w:p w14:paraId="394A6BB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9.202</w:t>
            </w:r>
          </w:p>
        </w:tc>
        <w:tc>
          <w:tcPr>
            <w:tcW w:w="942" w:type="dxa"/>
            <w:tcBorders>
              <w:top w:val="nil"/>
              <w:left w:val="nil"/>
              <w:bottom w:val="single" w:sz="4" w:space="0" w:color="auto"/>
              <w:right w:val="single" w:sz="4" w:space="0" w:color="auto"/>
            </w:tcBorders>
            <w:shd w:val="clear" w:color="auto" w:fill="auto"/>
            <w:vAlign w:val="center"/>
            <w:hideMark/>
          </w:tcPr>
          <w:p w14:paraId="77120A9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595.21%</w:t>
            </w:r>
          </w:p>
        </w:tc>
        <w:tc>
          <w:tcPr>
            <w:tcW w:w="862" w:type="dxa"/>
            <w:tcBorders>
              <w:top w:val="nil"/>
              <w:left w:val="nil"/>
              <w:bottom w:val="single" w:sz="4" w:space="0" w:color="auto"/>
              <w:right w:val="single" w:sz="4" w:space="0" w:color="auto"/>
            </w:tcBorders>
            <w:shd w:val="clear" w:color="000000" w:fill="D9D9D9"/>
            <w:vAlign w:val="center"/>
            <w:hideMark/>
          </w:tcPr>
          <w:p w14:paraId="0A2E146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5.764</w:t>
            </w:r>
          </w:p>
        </w:tc>
      </w:tr>
      <w:tr w:rsidR="002F12B1" w14:paraId="57414CEA" w14:textId="77777777" w:rsidTr="00D10794">
        <w:trPr>
          <w:trHeight w:val="521"/>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1D93D909"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Corporate Budgets (Treasury Management)</w:t>
            </w:r>
          </w:p>
        </w:tc>
        <w:tc>
          <w:tcPr>
            <w:tcW w:w="1074" w:type="dxa"/>
            <w:tcBorders>
              <w:top w:val="nil"/>
              <w:left w:val="nil"/>
              <w:bottom w:val="single" w:sz="4" w:space="0" w:color="auto"/>
              <w:right w:val="single" w:sz="4" w:space="0" w:color="auto"/>
            </w:tcBorders>
            <w:shd w:val="clear" w:color="auto" w:fill="auto"/>
            <w:vAlign w:val="center"/>
            <w:hideMark/>
          </w:tcPr>
          <w:p w14:paraId="4BFA0350"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27.641</w:t>
            </w:r>
          </w:p>
        </w:tc>
        <w:tc>
          <w:tcPr>
            <w:tcW w:w="1074" w:type="dxa"/>
            <w:tcBorders>
              <w:top w:val="nil"/>
              <w:left w:val="nil"/>
              <w:bottom w:val="single" w:sz="4" w:space="0" w:color="auto"/>
              <w:right w:val="single" w:sz="4" w:space="0" w:color="auto"/>
            </w:tcBorders>
            <w:shd w:val="clear" w:color="auto" w:fill="auto"/>
            <w:vAlign w:val="center"/>
            <w:hideMark/>
          </w:tcPr>
          <w:p w14:paraId="515DF41F"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3.039</w:t>
            </w:r>
          </w:p>
        </w:tc>
        <w:tc>
          <w:tcPr>
            <w:tcW w:w="1074" w:type="dxa"/>
            <w:tcBorders>
              <w:top w:val="nil"/>
              <w:left w:val="nil"/>
              <w:bottom w:val="single" w:sz="4" w:space="0" w:color="auto"/>
              <w:right w:val="single" w:sz="4" w:space="0" w:color="auto"/>
            </w:tcBorders>
            <w:shd w:val="clear" w:color="000000" w:fill="D9D9D9"/>
            <w:vAlign w:val="center"/>
            <w:hideMark/>
          </w:tcPr>
          <w:p w14:paraId="1C6B1DDC"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-24.602</w:t>
            </w:r>
          </w:p>
        </w:tc>
        <w:tc>
          <w:tcPr>
            <w:tcW w:w="942" w:type="dxa"/>
            <w:tcBorders>
              <w:top w:val="nil"/>
              <w:left w:val="nil"/>
              <w:bottom w:val="single" w:sz="4" w:space="0" w:color="auto"/>
              <w:right w:val="single" w:sz="4" w:space="0" w:color="auto"/>
            </w:tcBorders>
            <w:shd w:val="clear" w:color="auto" w:fill="auto"/>
            <w:vAlign w:val="center"/>
            <w:hideMark/>
          </w:tcPr>
          <w:p w14:paraId="5465372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-89.01%</w:t>
            </w:r>
          </w:p>
        </w:tc>
        <w:tc>
          <w:tcPr>
            <w:tcW w:w="862" w:type="dxa"/>
            <w:tcBorders>
              <w:top w:val="nil"/>
              <w:left w:val="nil"/>
              <w:bottom w:val="single" w:sz="4" w:space="0" w:color="auto"/>
              <w:right w:val="single" w:sz="4" w:space="0" w:color="auto"/>
            </w:tcBorders>
            <w:shd w:val="clear" w:color="000000" w:fill="D9D9D9"/>
            <w:vAlign w:val="center"/>
            <w:hideMark/>
          </w:tcPr>
          <w:p w14:paraId="4A0259F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-17.599</w:t>
            </w:r>
          </w:p>
        </w:tc>
      </w:tr>
      <w:tr w:rsidR="002F12B1" w14:paraId="6C4EE7F0" w14:textId="77777777" w:rsidTr="00D10794">
        <w:trPr>
          <w:trHeight w:val="751"/>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7F308917"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Corporate Budgets (Pensions &amp; Apprenticeship Levy)</w:t>
            </w:r>
          </w:p>
        </w:tc>
        <w:tc>
          <w:tcPr>
            <w:tcW w:w="1074" w:type="dxa"/>
            <w:tcBorders>
              <w:top w:val="nil"/>
              <w:left w:val="nil"/>
              <w:bottom w:val="single" w:sz="4" w:space="0" w:color="auto"/>
              <w:right w:val="single" w:sz="4" w:space="0" w:color="auto"/>
            </w:tcBorders>
            <w:shd w:val="clear" w:color="auto" w:fill="auto"/>
            <w:vAlign w:val="center"/>
            <w:hideMark/>
          </w:tcPr>
          <w:p w14:paraId="040840A1"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9.767</w:t>
            </w:r>
          </w:p>
        </w:tc>
        <w:tc>
          <w:tcPr>
            <w:tcW w:w="1074" w:type="dxa"/>
            <w:tcBorders>
              <w:top w:val="nil"/>
              <w:left w:val="nil"/>
              <w:bottom w:val="single" w:sz="4" w:space="0" w:color="auto"/>
              <w:right w:val="single" w:sz="4" w:space="0" w:color="auto"/>
            </w:tcBorders>
            <w:shd w:val="clear" w:color="auto" w:fill="auto"/>
            <w:vAlign w:val="center"/>
            <w:hideMark/>
          </w:tcPr>
          <w:p w14:paraId="4BA40AF9"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9.281</w:t>
            </w:r>
          </w:p>
        </w:tc>
        <w:tc>
          <w:tcPr>
            <w:tcW w:w="1074" w:type="dxa"/>
            <w:tcBorders>
              <w:top w:val="nil"/>
              <w:left w:val="nil"/>
              <w:bottom w:val="single" w:sz="4" w:space="0" w:color="auto"/>
              <w:right w:val="single" w:sz="4" w:space="0" w:color="auto"/>
            </w:tcBorders>
            <w:shd w:val="clear" w:color="000000" w:fill="D9D9D9"/>
            <w:vAlign w:val="center"/>
            <w:hideMark/>
          </w:tcPr>
          <w:p w14:paraId="6F45CBE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-0.486</w:t>
            </w:r>
          </w:p>
        </w:tc>
        <w:tc>
          <w:tcPr>
            <w:tcW w:w="942" w:type="dxa"/>
            <w:tcBorders>
              <w:top w:val="nil"/>
              <w:left w:val="nil"/>
              <w:bottom w:val="single" w:sz="4" w:space="0" w:color="auto"/>
              <w:right w:val="single" w:sz="4" w:space="0" w:color="auto"/>
            </w:tcBorders>
            <w:shd w:val="clear" w:color="auto" w:fill="auto"/>
            <w:vAlign w:val="center"/>
            <w:hideMark/>
          </w:tcPr>
          <w:p w14:paraId="63ACF1ED"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-4.98%</w:t>
            </w:r>
          </w:p>
        </w:tc>
        <w:tc>
          <w:tcPr>
            <w:tcW w:w="862" w:type="dxa"/>
            <w:tcBorders>
              <w:top w:val="nil"/>
              <w:left w:val="nil"/>
              <w:bottom w:val="single" w:sz="4" w:space="0" w:color="auto"/>
              <w:right w:val="single" w:sz="4" w:space="0" w:color="auto"/>
            </w:tcBorders>
            <w:shd w:val="clear" w:color="000000" w:fill="D9D9D9"/>
            <w:vAlign w:val="center"/>
            <w:hideMark/>
          </w:tcPr>
          <w:p w14:paraId="7CC9FF2A"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-0.204</w:t>
            </w:r>
          </w:p>
        </w:tc>
      </w:tr>
      <w:tr w:rsidR="002F12B1" w14:paraId="7F12A5AE"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2A24E1CB"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w:t>
            </w:r>
          </w:p>
        </w:tc>
        <w:tc>
          <w:tcPr>
            <w:tcW w:w="1074" w:type="dxa"/>
            <w:tcBorders>
              <w:top w:val="nil"/>
              <w:left w:val="nil"/>
              <w:bottom w:val="single" w:sz="4" w:space="0" w:color="auto"/>
              <w:right w:val="single" w:sz="4" w:space="0" w:color="auto"/>
            </w:tcBorders>
            <w:shd w:val="clear" w:color="000000" w:fill="D9D9D9"/>
            <w:vAlign w:val="center"/>
            <w:hideMark/>
          </w:tcPr>
          <w:p w14:paraId="63F6E91C"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42.560</w:t>
            </w:r>
          </w:p>
        </w:tc>
        <w:tc>
          <w:tcPr>
            <w:tcW w:w="1074" w:type="dxa"/>
            <w:tcBorders>
              <w:top w:val="nil"/>
              <w:left w:val="nil"/>
              <w:bottom w:val="single" w:sz="4" w:space="0" w:color="auto"/>
              <w:right w:val="single" w:sz="4" w:space="0" w:color="auto"/>
            </w:tcBorders>
            <w:shd w:val="clear" w:color="000000" w:fill="D9D9D9"/>
            <w:vAlign w:val="center"/>
            <w:hideMark/>
          </w:tcPr>
          <w:p w14:paraId="1259B22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25.987</w:t>
            </w:r>
          </w:p>
        </w:tc>
        <w:tc>
          <w:tcPr>
            <w:tcW w:w="1074" w:type="dxa"/>
            <w:tcBorders>
              <w:top w:val="nil"/>
              <w:left w:val="nil"/>
              <w:bottom w:val="single" w:sz="4" w:space="0" w:color="auto"/>
              <w:right w:val="single" w:sz="4" w:space="0" w:color="auto"/>
            </w:tcBorders>
            <w:shd w:val="clear" w:color="000000" w:fill="D9D9D9"/>
            <w:vAlign w:val="center"/>
            <w:hideMark/>
          </w:tcPr>
          <w:p w14:paraId="1613AFD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-16.573</w:t>
            </w:r>
          </w:p>
        </w:tc>
        <w:tc>
          <w:tcPr>
            <w:tcW w:w="942" w:type="dxa"/>
            <w:tcBorders>
              <w:top w:val="nil"/>
              <w:left w:val="nil"/>
              <w:bottom w:val="single" w:sz="4" w:space="0" w:color="auto"/>
              <w:right w:val="single" w:sz="4" w:space="0" w:color="auto"/>
            </w:tcBorders>
            <w:shd w:val="clear" w:color="000000" w:fill="D9D9D9"/>
            <w:vAlign w:val="center"/>
            <w:hideMark/>
          </w:tcPr>
          <w:p w14:paraId="0C4CF398"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-38.94%</w:t>
            </w:r>
          </w:p>
        </w:tc>
        <w:tc>
          <w:tcPr>
            <w:tcW w:w="862" w:type="dxa"/>
            <w:tcBorders>
              <w:top w:val="nil"/>
              <w:left w:val="nil"/>
              <w:bottom w:val="single" w:sz="4" w:space="0" w:color="auto"/>
              <w:right w:val="single" w:sz="4" w:space="0" w:color="auto"/>
            </w:tcBorders>
            <w:shd w:val="clear" w:color="000000" w:fill="D9D9D9"/>
            <w:vAlign w:val="center"/>
            <w:hideMark/>
          </w:tcPr>
          <w:p w14:paraId="7F29BBB2"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-11.861</w:t>
            </w:r>
          </w:p>
        </w:tc>
      </w:tr>
      <w:tr w:rsidR="002F12B1" w14:paraId="2925B8C3" w14:textId="77777777" w:rsidTr="00D10794">
        <w:trPr>
          <w:trHeight w:val="306"/>
        </w:trPr>
        <w:tc>
          <w:tcPr>
            <w:tcW w:w="3888" w:type="dxa"/>
            <w:tcBorders>
              <w:top w:val="nil"/>
              <w:left w:val="single" w:sz="4" w:space="0" w:color="auto"/>
              <w:bottom w:val="single" w:sz="4" w:space="0" w:color="auto"/>
              <w:right w:val="single" w:sz="4" w:space="0" w:color="auto"/>
            </w:tcBorders>
            <w:shd w:val="clear" w:color="auto" w:fill="auto"/>
            <w:vAlign w:val="center"/>
            <w:hideMark/>
          </w:tcPr>
          <w:p w14:paraId="096AF488"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Share of unallocated COVID-19 emergency monies</w:t>
            </w:r>
          </w:p>
        </w:tc>
        <w:tc>
          <w:tcPr>
            <w:tcW w:w="1074" w:type="dxa"/>
            <w:tcBorders>
              <w:top w:val="nil"/>
              <w:left w:val="nil"/>
              <w:bottom w:val="single" w:sz="4" w:space="0" w:color="auto"/>
              <w:right w:val="single" w:sz="4" w:space="0" w:color="auto"/>
            </w:tcBorders>
            <w:shd w:val="clear" w:color="auto" w:fill="auto"/>
            <w:vAlign w:val="center"/>
            <w:hideMark/>
          </w:tcPr>
          <w:p w14:paraId="6733C3AB"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0.000</w:t>
            </w:r>
          </w:p>
        </w:tc>
        <w:tc>
          <w:tcPr>
            <w:tcW w:w="1074" w:type="dxa"/>
            <w:tcBorders>
              <w:top w:val="nil"/>
              <w:left w:val="nil"/>
              <w:bottom w:val="single" w:sz="4" w:space="0" w:color="auto"/>
              <w:right w:val="single" w:sz="4" w:space="0" w:color="auto"/>
            </w:tcBorders>
            <w:shd w:val="clear" w:color="auto" w:fill="auto"/>
            <w:vAlign w:val="center"/>
            <w:hideMark/>
          </w:tcPr>
          <w:p w14:paraId="47E67526"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-2.411</w:t>
            </w:r>
          </w:p>
        </w:tc>
        <w:tc>
          <w:tcPr>
            <w:tcW w:w="1074" w:type="dxa"/>
            <w:tcBorders>
              <w:top w:val="nil"/>
              <w:left w:val="nil"/>
              <w:bottom w:val="single" w:sz="4" w:space="0" w:color="auto"/>
              <w:right w:val="single" w:sz="4" w:space="0" w:color="auto"/>
            </w:tcBorders>
            <w:shd w:val="clear" w:color="auto" w:fill="auto"/>
            <w:vAlign w:val="center"/>
            <w:hideMark/>
          </w:tcPr>
          <w:p w14:paraId="6F292092"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-2.411</w:t>
            </w:r>
          </w:p>
        </w:tc>
        <w:tc>
          <w:tcPr>
            <w:tcW w:w="942" w:type="dxa"/>
            <w:tcBorders>
              <w:top w:val="nil"/>
              <w:left w:val="nil"/>
              <w:bottom w:val="single" w:sz="4" w:space="0" w:color="auto"/>
              <w:right w:val="single" w:sz="4" w:space="0" w:color="auto"/>
            </w:tcBorders>
            <w:shd w:val="clear" w:color="auto" w:fill="auto"/>
            <w:vAlign w:val="center"/>
            <w:hideMark/>
          </w:tcPr>
          <w:p w14:paraId="17D38537"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 </w:t>
            </w:r>
          </w:p>
        </w:tc>
        <w:tc>
          <w:tcPr>
            <w:tcW w:w="862" w:type="dxa"/>
            <w:tcBorders>
              <w:top w:val="nil"/>
              <w:left w:val="nil"/>
              <w:bottom w:val="single" w:sz="4" w:space="0" w:color="auto"/>
              <w:right w:val="single" w:sz="4" w:space="0" w:color="auto"/>
            </w:tcBorders>
            <w:shd w:val="clear" w:color="auto" w:fill="auto"/>
            <w:vAlign w:val="center"/>
            <w:hideMark/>
          </w:tcPr>
          <w:p w14:paraId="28AA5258" w14:textId="77777777" w:rsidR="00D10794" w:rsidRPr="00B90474" w:rsidRDefault="00D10794" w:rsidP="00D10794">
            <w:pPr>
              <w:autoSpaceDE/>
              <w:autoSpaceDN/>
              <w:adjustRightInd/>
              <w:spacing w:after="0"/>
              <w:jc w:val="right"/>
              <w:rPr>
                <w:rFonts w:eastAsia="Times New Roman" w:cs="Arial"/>
                <w:sz w:val="20"/>
                <w:szCs w:val="20"/>
                <w:lang w:eastAsia="en-GB"/>
              </w:rPr>
            </w:pPr>
            <w:r w:rsidRPr="00B90474">
              <w:rPr>
                <w:rFonts w:eastAsia="Times New Roman" w:cs="Arial"/>
                <w:sz w:val="20"/>
                <w:szCs w:val="20"/>
                <w:lang w:eastAsia="en-GB"/>
              </w:rPr>
              <w:t>-4.328</w:t>
            </w:r>
          </w:p>
        </w:tc>
      </w:tr>
      <w:tr w:rsidR="002F12B1" w14:paraId="1BCC9526" w14:textId="77777777" w:rsidTr="00D10794">
        <w:trPr>
          <w:trHeight w:val="306"/>
        </w:trPr>
        <w:tc>
          <w:tcPr>
            <w:tcW w:w="3888" w:type="dxa"/>
            <w:tcBorders>
              <w:top w:val="nil"/>
              <w:left w:val="single" w:sz="4" w:space="0" w:color="auto"/>
              <w:bottom w:val="single" w:sz="4" w:space="0" w:color="auto"/>
              <w:right w:val="single" w:sz="4" w:space="0" w:color="auto"/>
            </w:tcBorders>
            <w:shd w:val="clear" w:color="000000" w:fill="D9D9D9"/>
            <w:vAlign w:val="center"/>
            <w:hideMark/>
          </w:tcPr>
          <w:p w14:paraId="272DCC8F" w14:textId="77777777" w:rsidR="00D10794" w:rsidRPr="00B90474" w:rsidRDefault="00D10794" w:rsidP="00D10794">
            <w:pPr>
              <w:autoSpaceDE/>
              <w:autoSpaceDN/>
              <w:adjustRightInd/>
              <w:spacing w:after="0"/>
              <w:jc w:val="left"/>
              <w:rPr>
                <w:rFonts w:eastAsia="Times New Roman" w:cs="Arial"/>
                <w:b/>
                <w:bCs/>
                <w:sz w:val="20"/>
                <w:szCs w:val="20"/>
                <w:lang w:eastAsia="en-GB"/>
              </w:rPr>
            </w:pPr>
            <w:r w:rsidRPr="00B90474">
              <w:rPr>
                <w:rFonts w:eastAsia="Times New Roman" w:cs="Arial"/>
                <w:b/>
                <w:bCs/>
                <w:sz w:val="20"/>
                <w:szCs w:val="20"/>
                <w:lang w:eastAsia="en-GB"/>
              </w:rPr>
              <w:t>Total Chief Executive Services</w:t>
            </w:r>
          </w:p>
        </w:tc>
        <w:tc>
          <w:tcPr>
            <w:tcW w:w="1074" w:type="dxa"/>
            <w:tcBorders>
              <w:top w:val="nil"/>
              <w:left w:val="nil"/>
              <w:bottom w:val="single" w:sz="4" w:space="0" w:color="auto"/>
              <w:right w:val="single" w:sz="4" w:space="0" w:color="auto"/>
            </w:tcBorders>
            <w:shd w:val="clear" w:color="000000" w:fill="D9D9D9"/>
            <w:vAlign w:val="center"/>
            <w:hideMark/>
          </w:tcPr>
          <w:p w14:paraId="230D5AE0"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42.560</w:t>
            </w:r>
          </w:p>
        </w:tc>
        <w:tc>
          <w:tcPr>
            <w:tcW w:w="1074" w:type="dxa"/>
            <w:tcBorders>
              <w:top w:val="nil"/>
              <w:left w:val="nil"/>
              <w:bottom w:val="single" w:sz="4" w:space="0" w:color="auto"/>
              <w:right w:val="single" w:sz="4" w:space="0" w:color="auto"/>
            </w:tcBorders>
            <w:shd w:val="clear" w:color="000000" w:fill="D9D9D9"/>
            <w:vAlign w:val="center"/>
            <w:hideMark/>
          </w:tcPr>
          <w:p w14:paraId="5263FD72"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23.575</w:t>
            </w:r>
          </w:p>
        </w:tc>
        <w:tc>
          <w:tcPr>
            <w:tcW w:w="1074" w:type="dxa"/>
            <w:tcBorders>
              <w:top w:val="nil"/>
              <w:left w:val="nil"/>
              <w:bottom w:val="single" w:sz="4" w:space="0" w:color="auto"/>
              <w:right w:val="single" w:sz="4" w:space="0" w:color="auto"/>
            </w:tcBorders>
            <w:shd w:val="clear" w:color="000000" w:fill="D9D9D9"/>
            <w:vAlign w:val="center"/>
            <w:hideMark/>
          </w:tcPr>
          <w:p w14:paraId="60FECF7C"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-18.985</w:t>
            </w:r>
          </w:p>
        </w:tc>
        <w:tc>
          <w:tcPr>
            <w:tcW w:w="942" w:type="dxa"/>
            <w:tcBorders>
              <w:top w:val="nil"/>
              <w:left w:val="nil"/>
              <w:bottom w:val="single" w:sz="4" w:space="0" w:color="auto"/>
              <w:right w:val="single" w:sz="4" w:space="0" w:color="auto"/>
            </w:tcBorders>
            <w:shd w:val="clear" w:color="000000" w:fill="D9D9D9"/>
            <w:vAlign w:val="center"/>
            <w:hideMark/>
          </w:tcPr>
          <w:p w14:paraId="2A6AB66B"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-44.61%</w:t>
            </w:r>
          </w:p>
        </w:tc>
        <w:tc>
          <w:tcPr>
            <w:tcW w:w="862" w:type="dxa"/>
            <w:tcBorders>
              <w:top w:val="nil"/>
              <w:left w:val="nil"/>
              <w:bottom w:val="single" w:sz="4" w:space="0" w:color="auto"/>
              <w:right w:val="single" w:sz="4" w:space="0" w:color="auto"/>
            </w:tcBorders>
            <w:shd w:val="clear" w:color="000000" w:fill="D9D9D9"/>
            <w:vAlign w:val="center"/>
            <w:hideMark/>
          </w:tcPr>
          <w:p w14:paraId="5AE4EFB3" w14:textId="77777777" w:rsidR="00D10794" w:rsidRPr="00B90474" w:rsidRDefault="00D10794" w:rsidP="00D10794">
            <w:pPr>
              <w:autoSpaceDE/>
              <w:autoSpaceDN/>
              <w:adjustRightInd/>
              <w:spacing w:after="0"/>
              <w:jc w:val="right"/>
              <w:rPr>
                <w:rFonts w:eastAsia="Times New Roman" w:cs="Arial"/>
                <w:b/>
                <w:bCs/>
                <w:sz w:val="20"/>
                <w:szCs w:val="20"/>
                <w:lang w:eastAsia="en-GB"/>
              </w:rPr>
            </w:pPr>
            <w:r w:rsidRPr="00B90474">
              <w:rPr>
                <w:rFonts w:eastAsia="Times New Roman" w:cs="Arial"/>
                <w:b/>
                <w:bCs/>
                <w:sz w:val="20"/>
                <w:szCs w:val="20"/>
                <w:lang w:eastAsia="en-GB"/>
              </w:rPr>
              <w:t>-16.189</w:t>
            </w:r>
          </w:p>
        </w:tc>
      </w:tr>
    </w:tbl>
    <w:p w14:paraId="12829498" w14:textId="77777777" w:rsidR="00D10794" w:rsidRPr="00C529BF" w:rsidRDefault="00D10794" w:rsidP="00D10794">
      <w:pPr>
        <w:autoSpaceDE/>
        <w:autoSpaceDN/>
        <w:adjustRightInd/>
        <w:spacing w:after="0"/>
        <w:rPr>
          <w:rFonts w:cs="Arial"/>
          <w:highlight w:val="yellow"/>
        </w:rPr>
      </w:pPr>
    </w:p>
    <w:p w14:paraId="368B5121" w14:textId="77777777" w:rsidR="00D10794" w:rsidRPr="00865F6C" w:rsidRDefault="00D10794" w:rsidP="00D10794">
      <w:pPr>
        <w:spacing w:after="0"/>
        <w:rPr>
          <w:rFonts w:cs="Arial"/>
        </w:rPr>
      </w:pPr>
      <w:r w:rsidRPr="00865F6C">
        <w:rPr>
          <w:rFonts w:cs="Arial"/>
          <w:b/>
        </w:rPr>
        <w:t>Chief Executive Services - underspend £18.985m</w:t>
      </w:r>
      <w:r w:rsidRPr="00865F6C">
        <w:rPr>
          <w:rFonts w:cs="Arial"/>
        </w:rPr>
        <w:t xml:space="preserve"> </w:t>
      </w:r>
    </w:p>
    <w:p w14:paraId="19B42486" w14:textId="77777777" w:rsidR="00D10794" w:rsidRPr="00865F6C" w:rsidRDefault="00D10794" w:rsidP="00D10794">
      <w:pPr>
        <w:spacing w:after="0"/>
        <w:rPr>
          <w:rFonts w:cs="Arial"/>
        </w:rPr>
      </w:pPr>
      <w:r w:rsidRPr="00865F6C">
        <w:rPr>
          <w:rFonts w:cs="Arial"/>
        </w:rPr>
        <w:t>This relates to gains across the treasury management budget of £24.60</w:t>
      </w:r>
      <w:r>
        <w:rPr>
          <w:rFonts w:cs="Arial"/>
        </w:rPr>
        <w:t>2</w:t>
      </w:r>
      <w:r w:rsidRPr="00865F6C">
        <w:rPr>
          <w:rFonts w:cs="Arial"/>
        </w:rPr>
        <w:t xml:space="preserve">m primarily </w:t>
      </w:r>
      <w:proofErr w:type="gramStart"/>
      <w:r w:rsidRPr="00865F6C">
        <w:rPr>
          <w:rFonts w:cs="Arial"/>
        </w:rPr>
        <w:t>as a result of</w:t>
      </w:r>
      <w:proofErr w:type="gramEnd"/>
      <w:r w:rsidRPr="00865F6C">
        <w:rPr>
          <w:rFonts w:cs="Arial"/>
        </w:rPr>
        <w:t xml:space="preserve"> extra income received through the sale of gilts and bonds taking advantage of the current economic environment and ongoing significant volatility in their pricing.  This position is offset by a contribution to the treasury management reserve to reflect the anticipated ongoing economic uncertainties, including the interest rate environment, </w:t>
      </w:r>
      <w:r>
        <w:rPr>
          <w:rFonts w:cs="Arial"/>
        </w:rPr>
        <w:t>arising</w:t>
      </w:r>
      <w:r w:rsidRPr="00865F6C">
        <w:rPr>
          <w:rFonts w:cs="Arial"/>
        </w:rPr>
        <w:t xml:space="preserve"> from both the pandemic and Brexit and the resulting potential future market risks and impact on future returns. </w:t>
      </w:r>
    </w:p>
    <w:p w14:paraId="2EE9F1BC" w14:textId="77777777" w:rsidR="00D10794" w:rsidRPr="00BC70A2" w:rsidRDefault="00D10794" w:rsidP="00D10794">
      <w:pPr>
        <w:spacing w:after="0"/>
        <w:rPr>
          <w:rFonts w:cs="Arial"/>
          <w:highlight w:val="green"/>
        </w:rPr>
      </w:pPr>
    </w:p>
    <w:p w14:paraId="5FEB96F5" w14:textId="77777777" w:rsidR="00D10794" w:rsidRPr="00865F6C" w:rsidRDefault="00D10794" w:rsidP="00D10794">
      <w:pPr>
        <w:spacing w:after="0"/>
        <w:rPr>
          <w:rFonts w:cs="Arial"/>
        </w:rPr>
      </w:pPr>
      <w:r w:rsidRPr="00865F6C">
        <w:rPr>
          <w:rFonts w:cs="Arial"/>
        </w:rPr>
        <w:t xml:space="preserve">In addition, a contribution </w:t>
      </w:r>
      <w:r>
        <w:rPr>
          <w:rFonts w:cs="Arial"/>
        </w:rPr>
        <w:t xml:space="preserve">of £4m </w:t>
      </w:r>
      <w:r w:rsidRPr="00865F6C">
        <w:rPr>
          <w:rFonts w:cs="Arial"/>
        </w:rPr>
        <w:t>has been made to the insurance provision</w:t>
      </w:r>
      <w:r>
        <w:rPr>
          <w:rFonts w:cs="Arial"/>
        </w:rPr>
        <w:t xml:space="preserve"> </w:t>
      </w:r>
      <w:r w:rsidRPr="00865F6C">
        <w:rPr>
          <w:rFonts w:cs="Arial"/>
        </w:rPr>
        <w:t>to reflect the required level of funding based on recent claims.</w:t>
      </w:r>
      <w:r>
        <w:rPr>
          <w:rFonts w:cs="Arial"/>
        </w:rPr>
        <w:t xml:space="preserve"> There was also a contribution of £5m to the business rates volatility reserve to reflect the level of risk associated with the collection fund position. This is pending further information from district councils on final collection fund positions and confirmation of amounts receivable from the 75% compensation scheme for losses from the government, in addition to risks around collection levels in 2021/22.</w:t>
      </w:r>
      <w:r w:rsidRPr="00865F6C">
        <w:rPr>
          <w:rFonts w:cs="Arial"/>
        </w:rPr>
        <w:t xml:space="preserve"> There are also costs relating to voluntary redundancy </w:t>
      </w:r>
      <w:r>
        <w:rPr>
          <w:rFonts w:cs="Arial"/>
        </w:rPr>
        <w:t xml:space="preserve">which can be met from </w:t>
      </w:r>
      <w:r w:rsidRPr="00865F6C">
        <w:rPr>
          <w:rFonts w:cs="Arial"/>
        </w:rPr>
        <w:t xml:space="preserve">within the directorate </w:t>
      </w:r>
      <w:r>
        <w:rPr>
          <w:rFonts w:cs="Arial"/>
        </w:rPr>
        <w:t>budget without recourse to reserves</w:t>
      </w:r>
      <w:r w:rsidRPr="00865F6C">
        <w:rPr>
          <w:rFonts w:cs="Arial"/>
        </w:rPr>
        <w:t xml:space="preserve">. </w:t>
      </w:r>
    </w:p>
    <w:p w14:paraId="6C0B10CA" w14:textId="77777777" w:rsidR="00D10794" w:rsidRPr="00BC70A2" w:rsidRDefault="00D10794" w:rsidP="00D10794">
      <w:pPr>
        <w:spacing w:after="0"/>
        <w:rPr>
          <w:rFonts w:cs="Arial"/>
          <w:highlight w:val="green"/>
        </w:rPr>
      </w:pPr>
    </w:p>
    <w:p w14:paraId="7F9002C6" w14:textId="77777777" w:rsidR="00D10794" w:rsidRPr="00865F6C" w:rsidRDefault="00D10794" w:rsidP="00D10794">
      <w:pPr>
        <w:spacing w:after="0"/>
        <w:rPr>
          <w:rFonts w:cs="Arial"/>
        </w:rPr>
      </w:pPr>
      <w:r w:rsidRPr="00865F6C">
        <w:rPr>
          <w:rFonts w:cs="Arial"/>
        </w:rPr>
        <w:t xml:space="preserve">There are other </w:t>
      </w:r>
      <w:r>
        <w:rPr>
          <w:rFonts w:cs="Arial"/>
        </w:rPr>
        <w:t>smaller</w:t>
      </w:r>
      <w:r w:rsidRPr="00865F6C">
        <w:rPr>
          <w:rFonts w:cs="Arial"/>
        </w:rPr>
        <w:t xml:space="preserve"> underspends on areas such as apprenticeship levy</w:t>
      </w:r>
      <w:r>
        <w:rPr>
          <w:rFonts w:cs="Arial"/>
        </w:rPr>
        <w:t>, chief executive services</w:t>
      </w:r>
      <w:r w:rsidRPr="00865F6C">
        <w:rPr>
          <w:rFonts w:cs="Arial"/>
        </w:rPr>
        <w:t xml:space="preserve"> and the communications service. </w:t>
      </w:r>
    </w:p>
    <w:p w14:paraId="52C76DA0" w14:textId="77777777" w:rsidR="00D10794" w:rsidRPr="00BC70A2" w:rsidRDefault="00D10794" w:rsidP="00D10794">
      <w:pPr>
        <w:spacing w:after="0"/>
        <w:rPr>
          <w:rFonts w:cs="Arial"/>
          <w:highlight w:val="green"/>
        </w:rPr>
      </w:pPr>
    </w:p>
    <w:p w14:paraId="47C56B2A" w14:textId="77777777" w:rsidR="00D10794" w:rsidRDefault="00D10794" w:rsidP="00D10794">
      <w:pPr>
        <w:spacing w:after="0"/>
        <w:rPr>
          <w:rFonts w:cs="Arial"/>
        </w:rPr>
      </w:pPr>
      <w:r w:rsidRPr="00865F6C">
        <w:rPr>
          <w:rFonts w:cs="Arial"/>
        </w:rPr>
        <w:t>Chief executive services ha</w:t>
      </w:r>
      <w:r>
        <w:rPr>
          <w:rFonts w:cs="Arial"/>
        </w:rPr>
        <w:t>ve</w:t>
      </w:r>
      <w:r w:rsidRPr="00865F6C">
        <w:rPr>
          <w:rFonts w:cs="Arial"/>
        </w:rPr>
        <w:t xml:space="preserve"> been apportioned £2.411m of the emergency funding provided by government in respect of the coronavirus financial pressures.</w:t>
      </w:r>
    </w:p>
    <w:p w14:paraId="7BAD1481" w14:textId="77777777" w:rsidR="00D10794" w:rsidRPr="00C529BF" w:rsidRDefault="00D10794" w:rsidP="00D10794">
      <w:pPr>
        <w:spacing w:after="0"/>
        <w:rPr>
          <w:rFonts w:cs="Arial"/>
          <w:highlight w:val="yellow"/>
        </w:rPr>
      </w:pPr>
    </w:p>
    <w:p w14:paraId="39F8886F" w14:textId="77777777" w:rsidR="00D10794" w:rsidRPr="00C529BF" w:rsidRDefault="00D10794" w:rsidP="00D10794">
      <w:pPr>
        <w:spacing w:after="0"/>
        <w:rPr>
          <w:rFonts w:cs="Arial"/>
          <w:highlight w:val="yellow"/>
        </w:rPr>
      </w:pPr>
    </w:p>
    <w:p w14:paraId="0E96CFA3" w14:textId="77777777" w:rsidR="00D10794" w:rsidRDefault="00D10794" w:rsidP="00D10794">
      <w:pPr>
        <w:spacing w:after="0"/>
        <w:jc w:val="left"/>
        <w:rPr>
          <w:rFonts w:cs="Arial"/>
          <w:highlight w:val="yellow"/>
        </w:rPr>
      </w:pPr>
    </w:p>
    <w:p w14:paraId="4AA8545D" w14:textId="77777777" w:rsidR="00D10794" w:rsidRPr="00C529BF" w:rsidRDefault="00D10794" w:rsidP="00D10794">
      <w:pPr>
        <w:spacing w:after="0"/>
        <w:jc w:val="left"/>
        <w:rPr>
          <w:rFonts w:eastAsia="Cambria" w:cs="Arial"/>
          <w:sz w:val="23"/>
          <w:szCs w:val="23"/>
          <w:highlight w:val="yellow"/>
          <w:lang w:eastAsia="en-GB"/>
        </w:rPr>
      </w:pPr>
    </w:p>
    <w:p w14:paraId="36B95DCF" w14:textId="77777777" w:rsidR="00D10794" w:rsidRPr="008940E6" w:rsidRDefault="00D10794" w:rsidP="00D10794">
      <w:pPr>
        <w:spacing w:after="0"/>
        <w:rPr>
          <w:rFonts w:cs="Arial"/>
          <w:b/>
          <w:bCs/>
        </w:rPr>
      </w:pPr>
      <w:r w:rsidRPr="00C529BF">
        <w:rPr>
          <w:rFonts w:cs="Arial"/>
          <w:b/>
          <w:bCs/>
          <w:highlight w:val="yellow"/>
        </w:rPr>
        <w:br w:type="page"/>
      </w:r>
      <w:r w:rsidRPr="008940E6">
        <w:rPr>
          <w:rFonts w:cs="Arial"/>
          <w:b/>
          <w:bCs/>
        </w:rPr>
        <w:lastRenderedPageBreak/>
        <w:t xml:space="preserve">Section B - Schools Spending </w:t>
      </w:r>
      <w:r>
        <w:rPr>
          <w:rFonts w:cs="Arial"/>
          <w:b/>
          <w:bCs/>
        </w:rPr>
        <w:t>2020/21</w:t>
      </w:r>
    </w:p>
    <w:p w14:paraId="0050A8DE" w14:textId="77777777" w:rsidR="00D10794" w:rsidRPr="008940E6" w:rsidRDefault="00D10794" w:rsidP="00D10794">
      <w:pPr>
        <w:spacing w:after="0"/>
        <w:rPr>
          <w:rFonts w:cs="Arial"/>
          <w:b/>
          <w:bCs/>
        </w:rPr>
      </w:pPr>
    </w:p>
    <w:p w14:paraId="316AF7E2" w14:textId="77777777" w:rsidR="00D10794" w:rsidRPr="006F2EDC" w:rsidRDefault="00D10794" w:rsidP="00D10794">
      <w:pPr>
        <w:spacing w:after="0"/>
      </w:pPr>
      <w:r w:rsidRPr="005D680E">
        <w:t>The final outturn position against schools delegated budgets at 31 March 20</w:t>
      </w:r>
      <w:r>
        <w:t>21</w:t>
      </w:r>
      <w:r w:rsidRPr="005D680E">
        <w:t xml:space="preserve"> is an </w:t>
      </w:r>
      <w:r>
        <w:t xml:space="preserve">underspend of </w:t>
      </w:r>
      <w:r w:rsidRPr="006F2EDC">
        <w:t>£42.</w:t>
      </w:r>
      <w:r>
        <w:t>832</w:t>
      </w:r>
      <w:r w:rsidRPr="006F2EDC">
        <w:t>m</w:t>
      </w:r>
      <w:r w:rsidRPr="005D680E">
        <w:t>.</w:t>
      </w:r>
      <w:r>
        <w:t xml:space="preserve"> </w:t>
      </w:r>
      <w:r w:rsidRPr="005D680E">
        <w:t xml:space="preserve">This means that school balances have </w:t>
      </w:r>
      <w:r>
        <w:t>increased</w:t>
      </w:r>
      <w:r w:rsidRPr="005D680E">
        <w:t xml:space="preserve"> by </w:t>
      </w:r>
      <w:r w:rsidRPr="006F2EDC">
        <w:t>£42.8</w:t>
      </w:r>
      <w:r>
        <w:t>32</w:t>
      </w:r>
      <w:r w:rsidRPr="006F2EDC">
        <w:t>m</w:t>
      </w:r>
      <w:r>
        <w:t xml:space="preserve"> </w:t>
      </w:r>
      <w:r w:rsidRPr="005D680E">
        <w:t xml:space="preserve">in </w:t>
      </w:r>
      <w:r>
        <w:t xml:space="preserve">2020/21, to a total of </w:t>
      </w:r>
      <w:r w:rsidRPr="006F2EDC">
        <w:t>£90.</w:t>
      </w:r>
      <w:r>
        <w:t>151m</w:t>
      </w:r>
      <w:r w:rsidRPr="005D680E">
        <w:t xml:space="preserve">.  </w:t>
      </w:r>
    </w:p>
    <w:p w14:paraId="6FB46B86" w14:textId="77777777" w:rsidR="00D10794" w:rsidRDefault="00D10794" w:rsidP="00D10794">
      <w:pPr>
        <w:spacing w:after="0"/>
      </w:pPr>
    </w:p>
    <w:p w14:paraId="778DD469" w14:textId="77777777" w:rsidR="00D10794" w:rsidRPr="005D680E" w:rsidRDefault="00D10794" w:rsidP="00D10794">
      <w:pPr>
        <w:spacing w:after="0"/>
      </w:pPr>
      <w:r w:rsidRPr="005D680E">
        <w:t xml:space="preserve">The tables below show analysis of school balances by phase at the end of the financial year </w:t>
      </w:r>
      <w:r>
        <w:t>2020/21</w:t>
      </w:r>
      <w:r w:rsidRPr="005D680E">
        <w:t>.</w:t>
      </w:r>
    </w:p>
    <w:p w14:paraId="171AAD2B" w14:textId="77777777" w:rsidR="00D10794" w:rsidRPr="008940E6" w:rsidRDefault="00D10794" w:rsidP="00D10794">
      <w:pPr>
        <w:spacing w:after="0"/>
        <w:rPr>
          <w:rFonts w:cs="Arial"/>
        </w:rPr>
      </w:pPr>
    </w:p>
    <w:p w14:paraId="7572092F" w14:textId="77777777" w:rsidR="00D10794" w:rsidRDefault="00D10794" w:rsidP="00D10794">
      <w:pPr>
        <w:spacing w:after="0"/>
        <w:rPr>
          <w:rFonts w:cs="Arial"/>
          <w:b/>
        </w:rPr>
      </w:pPr>
      <w:r>
        <w:rPr>
          <w:rFonts w:cs="Arial"/>
          <w:b/>
        </w:rPr>
        <w:t>2020/21</w:t>
      </w:r>
      <w:r w:rsidRPr="000B4311">
        <w:rPr>
          <w:rFonts w:cs="Arial"/>
          <w:b/>
        </w:rPr>
        <w:t xml:space="preserve"> School Balances - In-Year Movement of Balances by Phase</w:t>
      </w:r>
    </w:p>
    <w:p w14:paraId="32D7439D" w14:textId="77777777" w:rsidR="00D10794" w:rsidRPr="000B4311" w:rsidRDefault="00D10794" w:rsidP="00D10794">
      <w:pPr>
        <w:spacing w:after="0"/>
        <w:rPr>
          <w:rFonts w:cs="Arial"/>
          <w:b/>
        </w:rPr>
      </w:pPr>
    </w:p>
    <w:tbl>
      <w:tblPr>
        <w:tblW w:w="9002" w:type="dxa"/>
        <w:tblInd w:w="5" w:type="dxa"/>
        <w:tblLayout w:type="fixed"/>
        <w:tblCellMar>
          <w:left w:w="0" w:type="dxa"/>
          <w:right w:w="0" w:type="dxa"/>
        </w:tblCellMar>
        <w:tblLook w:val="04A0" w:firstRow="1" w:lastRow="0" w:firstColumn="1" w:lastColumn="0" w:noHBand="0" w:noVBand="1"/>
      </w:tblPr>
      <w:tblGrid>
        <w:gridCol w:w="2250"/>
        <w:gridCol w:w="2251"/>
        <w:gridCol w:w="2250"/>
        <w:gridCol w:w="2251"/>
      </w:tblGrid>
      <w:tr w:rsidR="002F12B1" w14:paraId="66A6EE48" w14:textId="77777777" w:rsidTr="00D10794">
        <w:trPr>
          <w:trHeight w:val="35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BB79" w14:textId="77777777" w:rsidR="00D10794" w:rsidRPr="006F2EDC" w:rsidRDefault="00D10794" w:rsidP="00D10794">
            <w:pPr>
              <w:spacing w:after="0"/>
              <w:rPr>
                <w:rFonts w:cs="Arial"/>
                <w:b/>
              </w:rPr>
            </w:pPr>
            <w:r w:rsidRPr="006F2EDC">
              <w:rPr>
                <w:rFonts w:cs="Arial"/>
                <w:b/>
              </w:rPr>
              <w:t xml:space="preserve">Phase </w:t>
            </w:r>
          </w:p>
        </w:tc>
        <w:tc>
          <w:tcPr>
            <w:tcW w:w="2251" w:type="dxa"/>
            <w:tcBorders>
              <w:top w:val="single" w:sz="4" w:space="0" w:color="auto"/>
              <w:left w:val="nil"/>
              <w:bottom w:val="single" w:sz="4" w:space="0" w:color="auto"/>
              <w:right w:val="single" w:sz="4" w:space="0" w:color="auto"/>
            </w:tcBorders>
            <w:shd w:val="clear" w:color="auto" w:fill="auto"/>
            <w:noWrap/>
            <w:vAlign w:val="bottom"/>
            <w:hideMark/>
          </w:tcPr>
          <w:p w14:paraId="32A9D7D7" w14:textId="77777777" w:rsidR="00D10794" w:rsidRPr="006F2EDC" w:rsidRDefault="00D10794" w:rsidP="00D10794">
            <w:pPr>
              <w:spacing w:after="0"/>
              <w:jc w:val="center"/>
              <w:rPr>
                <w:rFonts w:cs="Arial"/>
                <w:b/>
                <w:szCs w:val="22"/>
              </w:rPr>
            </w:pPr>
            <w:r w:rsidRPr="006F2EDC">
              <w:rPr>
                <w:rFonts w:cs="Arial"/>
                <w:b/>
                <w:szCs w:val="22"/>
              </w:rPr>
              <w:t xml:space="preserve">Balance Brought Forward as at 1 April 2020 </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38CA2680" w14:textId="0E168BEC" w:rsidR="00D10794" w:rsidRPr="006F2EDC" w:rsidRDefault="00911248" w:rsidP="00D10794">
            <w:pPr>
              <w:spacing w:after="0"/>
              <w:jc w:val="center"/>
              <w:rPr>
                <w:rFonts w:cs="Arial"/>
                <w:b/>
                <w:szCs w:val="22"/>
              </w:rPr>
            </w:pPr>
            <w:r>
              <w:rPr>
                <w:rFonts w:cs="Arial"/>
                <w:b/>
                <w:szCs w:val="22"/>
              </w:rPr>
              <w:t>In-year Increase / (Decrease)</w:t>
            </w:r>
            <w:r w:rsidR="00D10794" w:rsidRPr="006F2EDC">
              <w:rPr>
                <w:rFonts w:cs="Arial"/>
                <w:b/>
                <w:szCs w:val="22"/>
              </w:rPr>
              <w:t xml:space="preserve"> 20/21 </w:t>
            </w:r>
          </w:p>
        </w:tc>
        <w:tc>
          <w:tcPr>
            <w:tcW w:w="2251" w:type="dxa"/>
            <w:tcBorders>
              <w:top w:val="single" w:sz="4" w:space="0" w:color="auto"/>
              <w:left w:val="nil"/>
              <w:bottom w:val="single" w:sz="4" w:space="0" w:color="auto"/>
              <w:right w:val="single" w:sz="4" w:space="0" w:color="auto"/>
            </w:tcBorders>
            <w:shd w:val="clear" w:color="auto" w:fill="auto"/>
            <w:noWrap/>
            <w:vAlign w:val="bottom"/>
          </w:tcPr>
          <w:p w14:paraId="3E33DCB5" w14:textId="77777777" w:rsidR="00D10794" w:rsidRPr="006F2EDC" w:rsidRDefault="00D10794" w:rsidP="00D10794">
            <w:pPr>
              <w:spacing w:after="0"/>
              <w:jc w:val="center"/>
              <w:rPr>
                <w:rFonts w:cs="Arial"/>
                <w:b/>
                <w:szCs w:val="22"/>
              </w:rPr>
            </w:pPr>
            <w:r w:rsidRPr="006F2EDC">
              <w:rPr>
                <w:rFonts w:cs="Arial"/>
                <w:b/>
                <w:szCs w:val="22"/>
              </w:rPr>
              <w:t xml:space="preserve">Balance Carried Forward as at 31 March 21 </w:t>
            </w:r>
          </w:p>
        </w:tc>
      </w:tr>
      <w:tr w:rsidR="002F12B1" w14:paraId="6A2073DE"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2D103AE4" w14:textId="77777777" w:rsidR="00D10794" w:rsidRPr="006F2EDC" w:rsidRDefault="00D10794" w:rsidP="00D10794">
            <w:pPr>
              <w:spacing w:after="0"/>
              <w:rPr>
                <w:rFonts w:cs="Arial"/>
                <w:b/>
              </w:rPr>
            </w:pPr>
            <w:r w:rsidRPr="006F2EDC">
              <w:rPr>
                <w:rFonts w:cs="Arial"/>
                <w:b/>
              </w:rPr>
              <w:t> </w:t>
            </w:r>
          </w:p>
        </w:tc>
        <w:tc>
          <w:tcPr>
            <w:tcW w:w="2251" w:type="dxa"/>
            <w:tcBorders>
              <w:top w:val="nil"/>
              <w:left w:val="nil"/>
              <w:bottom w:val="single" w:sz="4" w:space="0" w:color="auto"/>
              <w:right w:val="single" w:sz="4" w:space="0" w:color="auto"/>
            </w:tcBorders>
            <w:shd w:val="clear" w:color="auto" w:fill="auto"/>
            <w:noWrap/>
            <w:vAlign w:val="bottom"/>
            <w:hideMark/>
          </w:tcPr>
          <w:p w14:paraId="62B00488" w14:textId="77777777" w:rsidR="00D10794" w:rsidRPr="006F2EDC" w:rsidRDefault="00D10794" w:rsidP="00D10794">
            <w:pPr>
              <w:spacing w:after="0"/>
              <w:jc w:val="center"/>
              <w:rPr>
                <w:rFonts w:cs="Arial"/>
                <w:b/>
                <w:szCs w:val="22"/>
              </w:rPr>
            </w:pPr>
            <w:r w:rsidRPr="006F2EDC">
              <w:rPr>
                <w:rFonts w:cs="Arial"/>
                <w:b/>
                <w:szCs w:val="22"/>
              </w:rPr>
              <w:t>£m</w:t>
            </w:r>
          </w:p>
        </w:tc>
        <w:tc>
          <w:tcPr>
            <w:tcW w:w="2250" w:type="dxa"/>
            <w:tcBorders>
              <w:top w:val="nil"/>
              <w:left w:val="nil"/>
              <w:bottom w:val="single" w:sz="4" w:space="0" w:color="auto"/>
              <w:right w:val="single" w:sz="4" w:space="0" w:color="auto"/>
            </w:tcBorders>
            <w:shd w:val="clear" w:color="auto" w:fill="auto"/>
            <w:noWrap/>
            <w:vAlign w:val="bottom"/>
          </w:tcPr>
          <w:p w14:paraId="15AACF18" w14:textId="77777777" w:rsidR="00D10794" w:rsidRPr="006F2EDC" w:rsidRDefault="00D10794" w:rsidP="00D10794">
            <w:pPr>
              <w:spacing w:after="0"/>
              <w:jc w:val="center"/>
              <w:rPr>
                <w:rFonts w:cs="Arial"/>
                <w:b/>
                <w:szCs w:val="22"/>
              </w:rPr>
            </w:pPr>
            <w:r w:rsidRPr="006F2EDC">
              <w:rPr>
                <w:rFonts w:cs="Arial"/>
                <w:b/>
                <w:szCs w:val="22"/>
              </w:rPr>
              <w:t>£m</w:t>
            </w:r>
          </w:p>
        </w:tc>
        <w:tc>
          <w:tcPr>
            <w:tcW w:w="2251" w:type="dxa"/>
            <w:tcBorders>
              <w:top w:val="nil"/>
              <w:left w:val="nil"/>
              <w:bottom w:val="single" w:sz="4" w:space="0" w:color="auto"/>
              <w:right w:val="single" w:sz="4" w:space="0" w:color="auto"/>
            </w:tcBorders>
            <w:shd w:val="clear" w:color="auto" w:fill="auto"/>
            <w:noWrap/>
            <w:vAlign w:val="bottom"/>
          </w:tcPr>
          <w:p w14:paraId="54D77E98" w14:textId="77777777" w:rsidR="00D10794" w:rsidRPr="006F2EDC" w:rsidRDefault="00D10794" w:rsidP="00D10794">
            <w:pPr>
              <w:spacing w:after="0"/>
              <w:jc w:val="center"/>
              <w:rPr>
                <w:rFonts w:cs="Arial"/>
                <w:b/>
                <w:szCs w:val="22"/>
              </w:rPr>
            </w:pPr>
            <w:r w:rsidRPr="006F2EDC">
              <w:rPr>
                <w:rFonts w:cs="Arial"/>
                <w:b/>
                <w:szCs w:val="22"/>
              </w:rPr>
              <w:t>£m</w:t>
            </w:r>
          </w:p>
        </w:tc>
      </w:tr>
      <w:tr w:rsidR="002F12B1" w14:paraId="208DF2C4"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A0A0601" w14:textId="77777777" w:rsidR="00D10794" w:rsidRPr="006F2EDC" w:rsidRDefault="00D10794" w:rsidP="00D10794">
            <w:pPr>
              <w:spacing w:after="0"/>
              <w:rPr>
                <w:rFonts w:cs="Arial"/>
                <w:bCs/>
              </w:rPr>
            </w:pPr>
            <w:r w:rsidRPr="006F2EDC">
              <w:rPr>
                <w:rFonts w:cs="Arial"/>
                <w:bCs/>
              </w:rPr>
              <w:t>Nursery</w:t>
            </w:r>
          </w:p>
        </w:tc>
        <w:tc>
          <w:tcPr>
            <w:tcW w:w="2251" w:type="dxa"/>
            <w:tcBorders>
              <w:top w:val="nil"/>
              <w:left w:val="nil"/>
              <w:bottom w:val="single" w:sz="4" w:space="0" w:color="auto"/>
              <w:right w:val="single" w:sz="4" w:space="0" w:color="auto"/>
            </w:tcBorders>
            <w:shd w:val="clear" w:color="auto" w:fill="auto"/>
            <w:noWrap/>
            <w:vAlign w:val="bottom"/>
            <w:hideMark/>
          </w:tcPr>
          <w:p w14:paraId="6D9545F4" w14:textId="77777777" w:rsidR="00D10794" w:rsidRPr="006F2EDC" w:rsidRDefault="00D10794" w:rsidP="00D10794">
            <w:pPr>
              <w:spacing w:after="0"/>
              <w:jc w:val="right"/>
              <w:rPr>
                <w:rFonts w:cs="Arial"/>
                <w:bCs/>
                <w:szCs w:val="22"/>
              </w:rPr>
            </w:pPr>
            <w:r w:rsidRPr="006F2EDC">
              <w:rPr>
                <w:rFonts w:cs="Arial"/>
                <w:bCs/>
                <w:szCs w:val="22"/>
              </w:rPr>
              <w:t>0.383</w:t>
            </w:r>
            <w:r>
              <w:rPr>
                <w:rFonts w:cs="Arial"/>
                <w:bCs/>
                <w:szCs w:val="22"/>
              </w:rPr>
              <w:t xml:space="preserve"> </w:t>
            </w:r>
            <w:r w:rsidRPr="006F2EDC">
              <w:rPr>
                <w:rFonts w:cs="Arial"/>
                <w:bCs/>
                <w:szCs w:val="22"/>
              </w:rPr>
              <w:t xml:space="preserve"> </w:t>
            </w:r>
          </w:p>
        </w:tc>
        <w:tc>
          <w:tcPr>
            <w:tcW w:w="2250" w:type="dxa"/>
            <w:tcBorders>
              <w:top w:val="nil"/>
              <w:left w:val="nil"/>
              <w:bottom w:val="single" w:sz="4" w:space="0" w:color="auto"/>
              <w:right w:val="single" w:sz="4" w:space="0" w:color="auto"/>
            </w:tcBorders>
            <w:shd w:val="clear" w:color="auto" w:fill="auto"/>
            <w:noWrap/>
            <w:vAlign w:val="bottom"/>
          </w:tcPr>
          <w:p w14:paraId="12A98992" w14:textId="77777777" w:rsidR="00D10794" w:rsidRPr="006F2EDC" w:rsidRDefault="00D10794" w:rsidP="00D10794">
            <w:pPr>
              <w:spacing w:after="0"/>
              <w:jc w:val="right"/>
              <w:rPr>
                <w:rFonts w:cs="Arial"/>
                <w:bCs/>
                <w:szCs w:val="22"/>
              </w:rPr>
            </w:pPr>
            <w:r w:rsidRPr="006F2EDC">
              <w:rPr>
                <w:rFonts w:cs="Arial"/>
                <w:bCs/>
                <w:szCs w:val="22"/>
              </w:rPr>
              <w:t xml:space="preserve">0.362 </w:t>
            </w:r>
          </w:p>
        </w:tc>
        <w:tc>
          <w:tcPr>
            <w:tcW w:w="2251" w:type="dxa"/>
            <w:tcBorders>
              <w:top w:val="nil"/>
              <w:left w:val="nil"/>
              <w:bottom w:val="single" w:sz="4" w:space="0" w:color="auto"/>
              <w:right w:val="single" w:sz="4" w:space="0" w:color="auto"/>
            </w:tcBorders>
            <w:shd w:val="clear" w:color="auto" w:fill="auto"/>
            <w:noWrap/>
            <w:vAlign w:val="bottom"/>
          </w:tcPr>
          <w:p w14:paraId="0D0F571F" w14:textId="77777777" w:rsidR="00D10794" w:rsidRPr="006F2EDC" w:rsidRDefault="00D10794" w:rsidP="00D10794">
            <w:pPr>
              <w:spacing w:after="0"/>
              <w:jc w:val="right"/>
              <w:rPr>
                <w:rFonts w:cs="Arial"/>
                <w:bCs/>
                <w:szCs w:val="22"/>
              </w:rPr>
            </w:pPr>
            <w:r w:rsidRPr="006F2EDC">
              <w:rPr>
                <w:rFonts w:cs="Arial"/>
                <w:bCs/>
                <w:szCs w:val="22"/>
              </w:rPr>
              <w:t xml:space="preserve">0.745 </w:t>
            </w:r>
          </w:p>
        </w:tc>
      </w:tr>
      <w:tr w:rsidR="002F12B1" w14:paraId="3BC33D61"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00A70D04" w14:textId="77777777" w:rsidR="00D10794" w:rsidRPr="006F2EDC" w:rsidRDefault="00D10794" w:rsidP="00D10794">
            <w:pPr>
              <w:spacing w:after="0"/>
              <w:rPr>
                <w:rFonts w:cs="Arial"/>
                <w:bCs/>
              </w:rPr>
            </w:pPr>
            <w:r w:rsidRPr="006F2EDC">
              <w:rPr>
                <w:rFonts w:cs="Arial"/>
                <w:bCs/>
              </w:rPr>
              <w:t>Primary</w:t>
            </w:r>
          </w:p>
        </w:tc>
        <w:tc>
          <w:tcPr>
            <w:tcW w:w="2251" w:type="dxa"/>
            <w:tcBorders>
              <w:top w:val="nil"/>
              <w:left w:val="nil"/>
              <w:bottom w:val="single" w:sz="4" w:space="0" w:color="auto"/>
              <w:right w:val="single" w:sz="4" w:space="0" w:color="auto"/>
            </w:tcBorders>
            <w:shd w:val="clear" w:color="auto" w:fill="auto"/>
            <w:noWrap/>
            <w:vAlign w:val="bottom"/>
            <w:hideMark/>
          </w:tcPr>
          <w:p w14:paraId="23AB14B1" w14:textId="77777777" w:rsidR="00D10794" w:rsidRPr="006F2EDC" w:rsidRDefault="00D10794" w:rsidP="00D10794">
            <w:pPr>
              <w:spacing w:after="0"/>
              <w:jc w:val="right"/>
              <w:rPr>
                <w:rFonts w:cs="Arial"/>
                <w:bCs/>
                <w:szCs w:val="22"/>
              </w:rPr>
            </w:pPr>
            <w:r w:rsidRPr="006F2EDC">
              <w:rPr>
                <w:rFonts w:cs="Arial"/>
                <w:bCs/>
                <w:szCs w:val="22"/>
              </w:rPr>
              <w:t xml:space="preserve">35.953 </w:t>
            </w:r>
          </w:p>
        </w:tc>
        <w:tc>
          <w:tcPr>
            <w:tcW w:w="2250" w:type="dxa"/>
            <w:tcBorders>
              <w:top w:val="nil"/>
              <w:left w:val="nil"/>
              <w:bottom w:val="single" w:sz="4" w:space="0" w:color="auto"/>
              <w:right w:val="single" w:sz="4" w:space="0" w:color="auto"/>
            </w:tcBorders>
            <w:shd w:val="clear" w:color="auto" w:fill="auto"/>
            <w:noWrap/>
            <w:vAlign w:val="bottom"/>
          </w:tcPr>
          <w:p w14:paraId="754593A7" w14:textId="77777777" w:rsidR="00D10794" w:rsidRPr="006F2EDC" w:rsidRDefault="00D10794" w:rsidP="00D10794">
            <w:pPr>
              <w:spacing w:after="0"/>
              <w:jc w:val="right"/>
              <w:rPr>
                <w:rFonts w:cs="Arial"/>
                <w:bCs/>
                <w:szCs w:val="22"/>
              </w:rPr>
            </w:pPr>
            <w:r w:rsidRPr="006F2EDC">
              <w:rPr>
                <w:rFonts w:cs="Arial"/>
                <w:bCs/>
                <w:szCs w:val="22"/>
              </w:rPr>
              <w:t xml:space="preserve">22.476 </w:t>
            </w:r>
          </w:p>
        </w:tc>
        <w:tc>
          <w:tcPr>
            <w:tcW w:w="2251" w:type="dxa"/>
            <w:tcBorders>
              <w:top w:val="nil"/>
              <w:left w:val="nil"/>
              <w:bottom w:val="single" w:sz="4" w:space="0" w:color="auto"/>
              <w:right w:val="single" w:sz="4" w:space="0" w:color="auto"/>
            </w:tcBorders>
            <w:shd w:val="clear" w:color="auto" w:fill="auto"/>
            <w:noWrap/>
            <w:vAlign w:val="bottom"/>
          </w:tcPr>
          <w:p w14:paraId="093E72B5" w14:textId="77777777" w:rsidR="00D10794" w:rsidRPr="006F2EDC" w:rsidRDefault="00D10794" w:rsidP="00D10794">
            <w:pPr>
              <w:spacing w:after="0"/>
              <w:jc w:val="right"/>
              <w:rPr>
                <w:rFonts w:cs="Arial"/>
                <w:bCs/>
                <w:szCs w:val="22"/>
              </w:rPr>
            </w:pPr>
            <w:r w:rsidRPr="006F2EDC">
              <w:rPr>
                <w:rFonts w:cs="Arial"/>
                <w:bCs/>
                <w:szCs w:val="22"/>
              </w:rPr>
              <w:t xml:space="preserve">58.429 </w:t>
            </w:r>
          </w:p>
        </w:tc>
      </w:tr>
      <w:tr w:rsidR="002F12B1" w14:paraId="3BF97E70"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C1691D9" w14:textId="77777777" w:rsidR="00D10794" w:rsidRPr="006F2EDC" w:rsidRDefault="00D10794" w:rsidP="00D10794">
            <w:pPr>
              <w:spacing w:after="0"/>
              <w:rPr>
                <w:rFonts w:cs="Arial"/>
                <w:bCs/>
              </w:rPr>
            </w:pPr>
            <w:r w:rsidRPr="006F2EDC">
              <w:rPr>
                <w:rFonts w:cs="Arial"/>
                <w:bCs/>
              </w:rPr>
              <w:t>Secondary</w:t>
            </w:r>
          </w:p>
        </w:tc>
        <w:tc>
          <w:tcPr>
            <w:tcW w:w="2251" w:type="dxa"/>
            <w:tcBorders>
              <w:top w:val="nil"/>
              <w:left w:val="nil"/>
              <w:bottom w:val="single" w:sz="4" w:space="0" w:color="auto"/>
              <w:right w:val="single" w:sz="4" w:space="0" w:color="auto"/>
            </w:tcBorders>
            <w:shd w:val="clear" w:color="auto" w:fill="auto"/>
            <w:noWrap/>
            <w:vAlign w:val="bottom"/>
            <w:hideMark/>
          </w:tcPr>
          <w:p w14:paraId="18E602FB" w14:textId="77777777" w:rsidR="00D10794" w:rsidRPr="006F2EDC" w:rsidRDefault="00D10794" w:rsidP="00D10794">
            <w:pPr>
              <w:spacing w:after="0"/>
              <w:jc w:val="right"/>
              <w:rPr>
                <w:rFonts w:cs="Arial"/>
                <w:bCs/>
                <w:szCs w:val="22"/>
              </w:rPr>
            </w:pPr>
            <w:r w:rsidRPr="006F2EDC">
              <w:rPr>
                <w:rFonts w:cs="Arial"/>
                <w:bCs/>
                <w:szCs w:val="22"/>
              </w:rPr>
              <w:t xml:space="preserve">7.659 </w:t>
            </w:r>
          </w:p>
        </w:tc>
        <w:tc>
          <w:tcPr>
            <w:tcW w:w="2250" w:type="dxa"/>
            <w:tcBorders>
              <w:top w:val="nil"/>
              <w:left w:val="nil"/>
              <w:bottom w:val="single" w:sz="4" w:space="0" w:color="auto"/>
              <w:right w:val="single" w:sz="4" w:space="0" w:color="auto"/>
            </w:tcBorders>
            <w:shd w:val="clear" w:color="auto" w:fill="auto"/>
            <w:noWrap/>
            <w:vAlign w:val="bottom"/>
          </w:tcPr>
          <w:p w14:paraId="4B0D2628" w14:textId="77777777" w:rsidR="00D10794" w:rsidRPr="006F2EDC" w:rsidRDefault="00D10794" w:rsidP="00D10794">
            <w:pPr>
              <w:spacing w:after="0"/>
              <w:jc w:val="right"/>
              <w:rPr>
                <w:rFonts w:cs="Arial"/>
                <w:bCs/>
                <w:szCs w:val="22"/>
              </w:rPr>
            </w:pPr>
            <w:r w:rsidRPr="006F2EDC">
              <w:rPr>
                <w:rFonts w:cs="Arial"/>
                <w:bCs/>
                <w:szCs w:val="22"/>
              </w:rPr>
              <w:t xml:space="preserve">15.945 </w:t>
            </w:r>
          </w:p>
        </w:tc>
        <w:tc>
          <w:tcPr>
            <w:tcW w:w="2251" w:type="dxa"/>
            <w:tcBorders>
              <w:top w:val="nil"/>
              <w:left w:val="nil"/>
              <w:bottom w:val="single" w:sz="4" w:space="0" w:color="auto"/>
              <w:right w:val="single" w:sz="4" w:space="0" w:color="auto"/>
            </w:tcBorders>
            <w:shd w:val="clear" w:color="auto" w:fill="auto"/>
            <w:noWrap/>
            <w:vAlign w:val="bottom"/>
          </w:tcPr>
          <w:p w14:paraId="527DB79A" w14:textId="77777777" w:rsidR="00D10794" w:rsidRPr="006F2EDC" w:rsidRDefault="00D10794" w:rsidP="00D10794">
            <w:pPr>
              <w:spacing w:after="0"/>
              <w:jc w:val="right"/>
              <w:rPr>
                <w:rFonts w:cs="Arial"/>
                <w:bCs/>
                <w:szCs w:val="22"/>
              </w:rPr>
            </w:pPr>
            <w:r w:rsidRPr="006F2EDC">
              <w:rPr>
                <w:rFonts w:cs="Arial"/>
                <w:bCs/>
                <w:szCs w:val="22"/>
              </w:rPr>
              <w:t>23.60</w:t>
            </w:r>
            <w:r>
              <w:rPr>
                <w:rFonts w:cs="Arial"/>
                <w:bCs/>
                <w:szCs w:val="22"/>
              </w:rPr>
              <w:t>4</w:t>
            </w:r>
            <w:r w:rsidRPr="006F2EDC">
              <w:rPr>
                <w:rFonts w:cs="Arial"/>
                <w:bCs/>
                <w:szCs w:val="22"/>
              </w:rPr>
              <w:t xml:space="preserve"> </w:t>
            </w:r>
          </w:p>
        </w:tc>
      </w:tr>
      <w:tr w:rsidR="002F12B1" w14:paraId="65D1EED4"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D747350" w14:textId="77777777" w:rsidR="00D10794" w:rsidRPr="006F2EDC" w:rsidRDefault="00D10794" w:rsidP="00D10794">
            <w:pPr>
              <w:spacing w:after="0"/>
              <w:rPr>
                <w:rFonts w:cs="Arial"/>
                <w:bCs/>
              </w:rPr>
            </w:pPr>
            <w:r w:rsidRPr="006F2EDC">
              <w:rPr>
                <w:rFonts w:cs="Arial"/>
                <w:bCs/>
              </w:rPr>
              <w:t>Special</w:t>
            </w:r>
          </w:p>
        </w:tc>
        <w:tc>
          <w:tcPr>
            <w:tcW w:w="2251" w:type="dxa"/>
            <w:tcBorders>
              <w:top w:val="nil"/>
              <w:left w:val="nil"/>
              <w:bottom w:val="single" w:sz="4" w:space="0" w:color="auto"/>
              <w:right w:val="single" w:sz="4" w:space="0" w:color="auto"/>
            </w:tcBorders>
            <w:shd w:val="clear" w:color="auto" w:fill="auto"/>
            <w:noWrap/>
            <w:vAlign w:val="bottom"/>
            <w:hideMark/>
          </w:tcPr>
          <w:p w14:paraId="2778C218" w14:textId="77777777" w:rsidR="00D10794" w:rsidRPr="006F2EDC" w:rsidRDefault="00D10794" w:rsidP="00D10794">
            <w:pPr>
              <w:spacing w:after="0"/>
              <w:jc w:val="right"/>
              <w:rPr>
                <w:rFonts w:cs="Arial"/>
                <w:bCs/>
                <w:szCs w:val="22"/>
              </w:rPr>
            </w:pPr>
            <w:r w:rsidRPr="006F2EDC">
              <w:rPr>
                <w:rFonts w:cs="Arial"/>
                <w:bCs/>
                <w:szCs w:val="22"/>
              </w:rPr>
              <w:t xml:space="preserve">2.576 </w:t>
            </w:r>
          </w:p>
        </w:tc>
        <w:tc>
          <w:tcPr>
            <w:tcW w:w="2250" w:type="dxa"/>
            <w:tcBorders>
              <w:top w:val="nil"/>
              <w:left w:val="nil"/>
              <w:bottom w:val="single" w:sz="4" w:space="0" w:color="auto"/>
              <w:right w:val="single" w:sz="4" w:space="0" w:color="auto"/>
            </w:tcBorders>
            <w:shd w:val="clear" w:color="auto" w:fill="auto"/>
            <w:noWrap/>
            <w:vAlign w:val="bottom"/>
          </w:tcPr>
          <w:p w14:paraId="5EBADA46" w14:textId="77777777" w:rsidR="00D10794" w:rsidRPr="006F2EDC" w:rsidRDefault="00D10794" w:rsidP="00D10794">
            <w:pPr>
              <w:spacing w:after="0"/>
              <w:jc w:val="right"/>
              <w:rPr>
                <w:rFonts w:cs="Arial"/>
                <w:bCs/>
                <w:szCs w:val="22"/>
              </w:rPr>
            </w:pPr>
            <w:r w:rsidRPr="006F2EDC">
              <w:rPr>
                <w:rFonts w:cs="Arial"/>
                <w:bCs/>
                <w:szCs w:val="22"/>
              </w:rPr>
              <w:t xml:space="preserve">3.093 </w:t>
            </w:r>
          </w:p>
        </w:tc>
        <w:tc>
          <w:tcPr>
            <w:tcW w:w="2251" w:type="dxa"/>
            <w:tcBorders>
              <w:top w:val="nil"/>
              <w:left w:val="nil"/>
              <w:bottom w:val="single" w:sz="4" w:space="0" w:color="auto"/>
              <w:right w:val="single" w:sz="4" w:space="0" w:color="auto"/>
            </w:tcBorders>
            <w:shd w:val="clear" w:color="auto" w:fill="auto"/>
            <w:noWrap/>
            <w:vAlign w:val="bottom"/>
          </w:tcPr>
          <w:p w14:paraId="41549B2D" w14:textId="77777777" w:rsidR="00D10794" w:rsidRPr="006F2EDC" w:rsidRDefault="00D10794" w:rsidP="00D10794">
            <w:pPr>
              <w:spacing w:after="0"/>
              <w:jc w:val="right"/>
              <w:rPr>
                <w:rFonts w:cs="Arial"/>
                <w:bCs/>
                <w:szCs w:val="22"/>
              </w:rPr>
            </w:pPr>
            <w:r w:rsidRPr="006F2EDC">
              <w:rPr>
                <w:rFonts w:cs="Arial"/>
                <w:bCs/>
                <w:szCs w:val="22"/>
              </w:rPr>
              <w:t xml:space="preserve">5.669 </w:t>
            </w:r>
          </w:p>
        </w:tc>
      </w:tr>
      <w:tr w:rsidR="002F12B1" w14:paraId="71D4E4F9"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1C420EB" w14:textId="77777777" w:rsidR="00D10794" w:rsidRPr="006F2EDC" w:rsidRDefault="00D10794" w:rsidP="00D10794">
            <w:pPr>
              <w:spacing w:after="0"/>
              <w:rPr>
                <w:rFonts w:cs="Arial"/>
                <w:bCs/>
              </w:rPr>
            </w:pPr>
            <w:r w:rsidRPr="006F2EDC">
              <w:rPr>
                <w:rFonts w:cs="Arial"/>
                <w:bCs/>
              </w:rPr>
              <w:t xml:space="preserve">Short Stay </w:t>
            </w:r>
          </w:p>
        </w:tc>
        <w:tc>
          <w:tcPr>
            <w:tcW w:w="2251" w:type="dxa"/>
            <w:tcBorders>
              <w:top w:val="nil"/>
              <w:left w:val="nil"/>
              <w:bottom w:val="single" w:sz="4" w:space="0" w:color="auto"/>
              <w:right w:val="single" w:sz="4" w:space="0" w:color="auto"/>
            </w:tcBorders>
            <w:shd w:val="clear" w:color="auto" w:fill="auto"/>
            <w:noWrap/>
            <w:vAlign w:val="bottom"/>
            <w:hideMark/>
          </w:tcPr>
          <w:p w14:paraId="1C2FB269" w14:textId="77777777" w:rsidR="00D10794" w:rsidRPr="006F2EDC" w:rsidRDefault="00D10794" w:rsidP="00D10794">
            <w:pPr>
              <w:spacing w:after="0"/>
              <w:jc w:val="right"/>
              <w:rPr>
                <w:rFonts w:cs="Arial"/>
                <w:bCs/>
                <w:szCs w:val="22"/>
              </w:rPr>
            </w:pPr>
            <w:r w:rsidRPr="006F2EDC">
              <w:rPr>
                <w:rFonts w:cs="Arial"/>
                <w:bCs/>
                <w:szCs w:val="22"/>
              </w:rPr>
              <w:t xml:space="preserve">0.748 </w:t>
            </w:r>
          </w:p>
        </w:tc>
        <w:tc>
          <w:tcPr>
            <w:tcW w:w="2250" w:type="dxa"/>
            <w:tcBorders>
              <w:top w:val="nil"/>
              <w:left w:val="nil"/>
              <w:bottom w:val="single" w:sz="4" w:space="0" w:color="auto"/>
              <w:right w:val="single" w:sz="4" w:space="0" w:color="auto"/>
            </w:tcBorders>
            <w:shd w:val="clear" w:color="auto" w:fill="auto"/>
            <w:noWrap/>
            <w:vAlign w:val="bottom"/>
          </w:tcPr>
          <w:p w14:paraId="6CDC3438" w14:textId="77777777" w:rsidR="00D10794" w:rsidRPr="006F2EDC" w:rsidRDefault="00D10794" w:rsidP="00D10794">
            <w:pPr>
              <w:spacing w:after="0"/>
              <w:jc w:val="right"/>
              <w:rPr>
                <w:rFonts w:cs="Arial"/>
                <w:bCs/>
                <w:szCs w:val="22"/>
              </w:rPr>
            </w:pPr>
            <w:r w:rsidRPr="006F2EDC">
              <w:rPr>
                <w:rFonts w:cs="Arial"/>
                <w:bCs/>
                <w:szCs w:val="22"/>
              </w:rPr>
              <w:t>0.9</w:t>
            </w:r>
            <w:r>
              <w:rPr>
                <w:rFonts w:cs="Arial"/>
                <w:bCs/>
                <w:szCs w:val="22"/>
              </w:rPr>
              <w:t>56</w:t>
            </w:r>
            <w:r w:rsidRPr="006F2EDC">
              <w:rPr>
                <w:rFonts w:cs="Arial"/>
                <w:bCs/>
                <w:szCs w:val="22"/>
              </w:rPr>
              <w:t xml:space="preserve"> </w:t>
            </w:r>
          </w:p>
        </w:tc>
        <w:tc>
          <w:tcPr>
            <w:tcW w:w="2251" w:type="dxa"/>
            <w:tcBorders>
              <w:top w:val="nil"/>
              <w:left w:val="nil"/>
              <w:bottom w:val="single" w:sz="4" w:space="0" w:color="auto"/>
              <w:right w:val="single" w:sz="4" w:space="0" w:color="auto"/>
            </w:tcBorders>
            <w:shd w:val="clear" w:color="auto" w:fill="auto"/>
            <w:noWrap/>
            <w:vAlign w:val="bottom"/>
          </w:tcPr>
          <w:p w14:paraId="56CC2C86" w14:textId="77777777" w:rsidR="00D10794" w:rsidRPr="006F2EDC" w:rsidRDefault="00D10794" w:rsidP="00D10794">
            <w:pPr>
              <w:spacing w:after="0"/>
              <w:jc w:val="right"/>
              <w:rPr>
                <w:rFonts w:cs="Arial"/>
                <w:bCs/>
                <w:szCs w:val="22"/>
              </w:rPr>
            </w:pPr>
            <w:r w:rsidRPr="006F2EDC">
              <w:rPr>
                <w:rFonts w:cs="Arial"/>
                <w:bCs/>
                <w:szCs w:val="22"/>
              </w:rPr>
              <w:t>1.</w:t>
            </w:r>
            <w:r>
              <w:rPr>
                <w:rFonts w:cs="Arial"/>
                <w:bCs/>
                <w:szCs w:val="22"/>
              </w:rPr>
              <w:t>704</w:t>
            </w:r>
            <w:r w:rsidRPr="006F2EDC">
              <w:rPr>
                <w:rFonts w:cs="Arial"/>
                <w:bCs/>
                <w:szCs w:val="22"/>
              </w:rPr>
              <w:t xml:space="preserve"> </w:t>
            </w:r>
          </w:p>
        </w:tc>
      </w:tr>
      <w:tr w:rsidR="002F12B1" w14:paraId="59896721" w14:textId="77777777" w:rsidTr="00D10794">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0F610B90" w14:textId="77777777" w:rsidR="00D10794" w:rsidRPr="006F2EDC" w:rsidRDefault="00D10794" w:rsidP="00D10794">
            <w:pPr>
              <w:spacing w:after="0"/>
              <w:rPr>
                <w:rFonts w:cs="Arial"/>
                <w:b/>
              </w:rPr>
            </w:pPr>
            <w:r w:rsidRPr="006F2EDC">
              <w:rPr>
                <w:rFonts w:cs="Arial"/>
                <w:b/>
              </w:rPr>
              <w:t>Total</w:t>
            </w:r>
          </w:p>
        </w:tc>
        <w:tc>
          <w:tcPr>
            <w:tcW w:w="2251" w:type="dxa"/>
            <w:tcBorders>
              <w:top w:val="nil"/>
              <w:left w:val="nil"/>
              <w:bottom w:val="single" w:sz="4" w:space="0" w:color="auto"/>
              <w:right w:val="single" w:sz="4" w:space="0" w:color="auto"/>
            </w:tcBorders>
            <w:shd w:val="clear" w:color="auto" w:fill="auto"/>
            <w:noWrap/>
            <w:vAlign w:val="bottom"/>
            <w:hideMark/>
          </w:tcPr>
          <w:p w14:paraId="19054465" w14:textId="77777777" w:rsidR="00D10794" w:rsidRPr="006F2EDC" w:rsidRDefault="00D10794" w:rsidP="00D10794">
            <w:pPr>
              <w:spacing w:after="0"/>
              <w:jc w:val="right"/>
              <w:rPr>
                <w:rFonts w:cs="Arial"/>
                <w:b/>
                <w:szCs w:val="22"/>
              </w:rPr>
            </w:pPr>
            <w:r w:rsidRPr="006F2EDC">
              <w:rPr>
                <w:rFonts w:cs="Arial"/>
                <w:b/>
                <w:szCs w:val="22"/>
              </w:rPr>
              <w:t xml:space="preserve">47.319 </w:t>
            </w:r>
          </w:p>
        </w:tc>
        <w:tc>
          <w:tcPr>
            <w:tcW w:w="2250" w:type="dxa"/>
            <w:tcBorders>
              <w:top w:val="nil"/>
              <w:left w:val="nil"/>
              <w:bottom w:val="single" w:sz="4" w:space="0" w:color="auto"/>
              <w:right w:val="single" w:sz="4" w:space="0" w:color="auto"/>
            </w:tcBorders>
            <w:shd w:val="clear" w:color="auto" w:fill="auto"/>
            <w:noWrap/>
            <w:vAlign w:val="bottom"/>
          </w:tcPr>
          <w:p w14:paraId="7A1D8931" w14:textId="77777777" w:rsidR="00D10794" w:rsidRPr="006F2EDC" w:rsidRDefault="00D10794" w:rsidP="00D10794">
            <w:pPr>
              <w:spacing w:after="0"/>
              <w:jc w:val="right"/>
              <w:rPr>
                <w:rFonts w:cs="Arial"/>
                <w:b/>
                <w:szCs w:val="22"/>
              </w:rPr>
            </w:pPr>
            <w:r>
              <w:rPr>
                <w:rFonts w:cs="Arial"/>
                <w:b/>
                <w:szCs w:val="22"/>
              </w:rPr>
              <w:t>42.832</w:t>
            </w:r>
          </w:p>
        </w:tc>
        <w:tc>
          <w:tcPr>
            <w:tcW w:w="2251" w:type="dxa"/>
            <w:tcBorders>
              <w:top w:val="nil"/>
              <w:left w:val="nil"/>
              <w:bottom w:val="single" w:sz="4" w:space="0" w:color="auto"/>
              <w:right w:val="single" w:sz="4" w:space="0" w:color="auto"/>
            </w:tcBorders>
            <w:shd w:val="clear" w:color="auto" w:fill="auto"/>
            <w:noWrap/>
            <w:vAlign w:val="bottom"/>
          </w:tcPr>
          <w:p w14:paraId="5A2506F9" w14:textId="77777777" w:rsidR="00D10794" w:rsidRPr="006F2EDC" w:rsidRDefault="00D10794" w:rsidP="00D10794">
            <w:pPr>
              <w:spacing w:after="0"/>
              <w:jc w:val="right"/>
              <w:rPr>
                <w:rFonts w:cs="Arial"/>
                <w:b/>
                <w:szCs w:val="22"/>
              </w:rPr>
            </w:pPr>
            <w:r w:rsidRPr="006F2EDC">
              <w:rPr>
                <w:rFonts w:cs="Arial"/>
                <w:b/>
                <w:szCs w:val="22"/>
              </w:rPr>
              <w:t>90.1</w:t>
            </w:r>
            <w:r>
              <w:rPr>
                <w:rFonts w:cs="Arial"/>
                <w:b/>
                <w:szCs w:val="22"/>
              </w:rPr>
              <w:t>51</w:t>
            </w:r>
            <w:r w:rsidRPr="006F2EDC">
              <w:rPr>
                <w:rFonts w:cs="Arial"/>
                <w:b/>
                <w:szCs w:val="22"/>
              </w:rPr>
              <w:t xml:space="preserve"> </w:t>
            </w:r>
          </w:p>
        </w:tc>
      </w:tr>
    </w:tbl>
    <w:p w14:paraId="074653AE" w14:textId="77777777" w:rsidR="00D10794" w:rsidRDefault="00D10794" w:rsidP="00D10794">
      <w:pPr>
        <w:spacing w:after="0"/>
        <w:rPr>
          <w:rFonts w:cs="Arial"/>
        </w:rPr>
      </w:pPr>
    </w:p>
    <w:p w14:paraId="3004E2E6" w14:textId="77777777" w:rsidR="00D10794" w:rsidRDefault="00D10794" w:rsidP="00D10794">
      <w:pPr>
        <w:spacing w:after="0"/>
        <w:rPr>
          <w:rFonts w:cs="Arial"/>
        </w:rPr>
      </w:pPr>
      <w:r>
        <w:rPr>
          <w:rFonts w:cs="Arial"/>
        </w:rPr>
        <w:t xml:space="preserve">The 2020/21 financial year has clearly been an exceptional one in terms of the </w:t>
      </w:r>
      <w:proofErr w:type="spellStart"/>
      <w:r>
        <w:rPr>
          <w:rFonts w:cs="Arial"/>
        </w:rPr>
        <w:t>covid</w:t>
      </w:r>
      <w:proofErr w:type="spellEnd"/>
      <w:r>
        <w:rPr>
          <w:rFonts w:cs="Arial"/>
        </w:rPr>
        <w:t xml:space="preserve"> pandemic. Increased levels of core funding were provided by the Government in 2020/21, with Lancashire's </w:t>
      </w:r>
      <w:r>
        <w:t>gross Dedicated Schools Grant (DSG) allocation some £55m higher than that received in 2019/20</w:t>
      </w:r>
      <w:r>
        <w:rPr>
          <w:rFonts w:cs="Arial"/>
        </w:rPr>
        <w:t>.  Core school budget allocations were largely safeguarded during the pandemic, and the Lancashire Schools Forum and county council responded to Government guidance to offer additional protection to sectors where termly redetermination calculations were reducing income in year from expected levels due to the pandemic.</w:t>
      </w:r>
    </w:p>
    <w:p w14:paraId="46815D3B" w14:textId="77777777" w:rsidR="00D10794" w:rsidRDefault="00D10794" w:rsidP="00D10794">
      <w:pPr>
        <w:spacing w:after="0"/>
        <w:rPr>
          <w:rFonts w:cs="Arial"/>
        </w:rPr>
      </w:pPr>
    </w:p>
    <w:p w14:paraId="6BE28BCE" w14:textId="77777777" w:rsidR="00D10794" w:rsidRDefault="00D10794" w:rsidP="00D10794">
      <w:pPr>
        <w:spacing w:after="0"/>
        <w:rPr>
          <w:rFonts w:cs="Arial"/>
        </w:rPr>
      </w:pPr>
      <w:r>
        <w:rPr>
          <w:rFonts w:cs="Arial"/>
        </w:rPr>
        <w:t xml:space="preserve">Whilst some costs were increasing during 2020/21, as schools responded to relevant </w:t>
      </w:r>
      <w:proofErr w:type="spellStart"/>
      <w:r>
        <w:rPr>
          <w:rFonts w:cs="Arial"/>
        </w:rPr>
        <w:t>covid</w:t>
      </w:r>
      <w:proofErr w:type="spellEnd"/>
      <w:r>
        <w:rPr>
          <w:rFonts w:cs="Arial"/>
        </w:rPr>
        <w:t xml:space="preserve"> protocols and safety requirements throughout the year, there were also some extended periods when many schools were closed to the majority of pupils, which will have provided some savings against some planned expenditures.</w:t>
      </w:r>
    </w:p>
    <w:p w14:paraId="6D1A42D6" w14:textId="77777777" w:rsidR="00D10794" w:rsidRDefault="00D10794" w:rsidP="00D10794">
      <w:pPr>
        <w:spacing w:after="0"/>
        <w:rPr>
          <w:rFonts w:cs="Arial"/>
        </w:rPr>
      </w:pPr>
    </w:p>
    <w:p w14:paraId="23830641" w14:textId="77777777" w:rsidR="00D10794" w:rsidRPr="000B7803" w:rsidRDefault="00D10794" w:rsidP="00D10794">
      <w:pPr>
        <w:spacing w:after="0"/>
        <w:rPr>
          <w:rFonts w:cs="Arial"/>
        </w:rPr>
      </w:pPr>
      <w:r>
        <w:rPr>
          <w:rFonts w:cs="Arial"/>
        </w:rPr>
        <w:t xml:space="preserve">In addition to the core </w:t>
      </w:r>
      <w:r>
        <w:t xml:space="preserve">Dedicated Schools Grant (DSG) </w:t>
      </w:r>
      <w:r>
        <w:rPr>
          <w:rFonts w:cs="Arial"/>
        </w:rPr>
        <w:t xml:space="preserve">funding allocations to schools, considerable additional funding was allocated during 2020/21 in the form of Government grants.  For Lancashire maintained schools, grant allocations in the year totalled over £105m.  Some of these grants could be utilised in year, regardless of the pandemic, for example those covering </w:t>
      </w:r>
      <w:proofErr w:type="spellStart"/>
      <w:r>
        <w:rPr>
          <w:rFonts w:cs="Arial"/>
        </w:rPr>
        <w:t>teachers</w:t>
      </w:r>
      <w:proofErr w:type="spellEnd"/>
      <w:r>
        <w:rPr>
          <w:rFonts w:cs="Arial"/>
        </w:rPr>
        <w:t xml:space="preserve"> pay and pensions contributions.  Other grants were specifically to assist schools with the exceptional costs related to </w:t>
      </w:r>
      <w:proofErr w:type="spellStart"/>
      <w:r>
        <w:rPr>
          <w:rFonts w:cs="Arial"/>
        </w:rPr>
        <w:t>covid</w:t>
      </w:r>
      <w:proofErr w:type="spellEnd"/>
      <w:r>
        <w:rPr>
          <w:rFonts w:cs="Arial"/>
        </w:rPr>
        <w:t xml:space="preserve">, like </w:t>
      </w:r>
      <w:r>
        <w:rPr>
          <w:rFonts w:cs="Arial"/>
          <w:color w:val="363636"/>
        </w:rPr>
        <w:t>i</w:t>
      </w:r>
      <w:r w:rsidRPr="00772E40">
        <w:rPr>
          <w:rFonts w:cs="Arial"/>
          <w:color w:val="363636"/>
        </w:rPr>
        <w:t xml:space="preserve">ncreased </w:t>
      </w:r>
      <w:r w:rsidRPr="000B7803">
        <w:rPr>
          <w:rFonts w:cs="Arial"/>
        </w:rPr>
        <w:t xml:space="preserve">premises related costs or additional cleaning expenditure, which schools applied for to reimburse actual spending.  </w:t>
      </w:r>
    </w:p>
    <w:p w14:paraId="74939E7D" w14:textId="77777777" w:rsidR="00D10794" w:rsidRPr="000B7803" w:rsidRDefault="00D10794" w:rsidP="00D10794">
      <w:pPr>
        <w:spacing w:after="0"/>
        <w:rPr>
          <w:rFonts w:cs="Arial"/>
        </w:rPr>
      </w:pPr>
    </w:p>
    <w:p w14:paraId="5E34080F" w14:textId="77777777" w:rsidR="00D10794" w:rsidRPr="001B389E" w:rsidRDefault="00D10794" w:rsidP="00D10794">
      <w:pPr>
        <w:spacing w:after="0"/>
        <w:rPr>
          <w:rFonts w:cs="Arial"/>
        </w:rPr>
      </w:pPr>
      <w:r w:rsidRPr="000B7803">
        <w:rPr>
          <w:rFonts w:cs="Arial"/>
        </w:rPr>
        <w:t xml:space="preserve">However, spending relating to other grants would have been curtailed by the pandemic, and the associated conditions of grant may require the funding to be utilised during </w:t>
      </w:r>
      <w:r>
        <w:rPr>
          <w:rFonts w:cs="Arial"/>
        </w:rPr>
        <w:t xml:space="preserve">the financial year </w:t>
      </w:r>
      <w:r w:rsidRPr="000B7803">
        <w:rPr>
          <w:rFonts w:cs="Arial"/>
        </w:rPr>
        <w:t xml:space="preserve">2021/22, especially as schools continue to respond to the challenges of supporting pupils catch up on learning.  Such grants could include </w:t>
      </w:r>
      <w:r w:rsidRPr="00887C34">
        <w:rPr>
          <w:rFonts w:cs="Arial"/>
        </w:rPr>
        <w:t xml:space="preserve">Pupil Premium, PE Sports </w:t>
      </w:r>
      <w:proofErr w:type="gramStart"/>
      <w:r w:rsidRPr="00887C34">
        <w:rPr>
          <w:rFonts w:cs="Arial"/>
        </w:rPr>
        <w:t>premium</w:t>
      </w:r>
      <w:proofErr w:type="gramEnd"/>
      <w:r w:rsidRPr="00887C34">
        <w:rPr>
          <w:rFonts w:cs="Arial"/>
        </w:rPr>
        <w:t xml:space="preserve"> and the Coronavirus (COVID-19) catch-up </w:t>
      </w:r>
      <w:r w:rsidRPr="00887C34">
        <w:rPr>
          <w:rFonts w:cs="Arial"/>
        </w:rPr>
        <w:lastRenderedPageBreak/>
        <w:t>premium</w:t>
      </w:r>
      <w:r>
        <w:rPr>
          <w:rFonts w:cs="Arial"/>
        </w:rPr>
        <w:t>. Recently updated DfE guidance on the catch-up premium confirmed that 'S</w:t>
      </w:r>
      <w:r w:rsidRPr="001B389E">
        <w:rPr>
          <w:rFonts w:cs="Arial"/>
        </w:rPr>
        <w:t>chools can use catch-up premium funding to support any summer catch-up provision that they are offering and can carry funding forward to future academic years.</w:t>
      </w:r>
      <w:r>
        <w:rPr>
          <w:rFonts w:cs="Arial"/>
        </w:rPr>
        <w:t>'</w:t>
      </w:r>
    </w:p>
    <w:p w14:paraId="0D2621F6" w14:textId="77777777" w:rsidR="00D10794" w:rsidRDefault="00D10794" w:rsidP="00D10794">
      <w:pPr>
        <w:spacing w:after="0"/>
        <w:rPr>
          <w:rFonts w:cs="Arial"/>
        </w:rPr>
      </w:pPr>
    </w:p>
    <w:p w14:paraId="0AF18D2C" w14:textId="77777777" w:rsidR="00D10794" w:rsidRPr="000B4311" w:rsidRDefault="00D10794" w:rsidP="00D10794">
      <w:pPr>
        <w:spacing w:after="0"/>
        <w:rPr>
          <w:rFonts w:cs="Arial"/>
          <w:b/>
        </w:rPr>
      </w:pPr>
      <w:r>
        <w:rPr>
          <w:rFonts w:cs="Arial"/>
          <w:b/>
        </w:rPr>
        <w:t xml:space="preserve">2020/21 </w:t>
      </w:r>
      <w:r w:rsidRPr="000B4311">
        <w:rPr>
          <w:rFonts w:cs="Arial"/>
          <w:b/>
        </w:rPr>
        <w:t>School Balances –In-Year Movement Count of Schools by Phase</w:t>
      </w:r>
    </w:p>
    <w:p w14:paraId="6FC18A4D" w14:textId="77777777" w:rsidR="00D10794" w:rsidRPr="000B4311" w:rsidRDefault="00D10794" w:rsidP="00D10794">
      <w:pPr>
        <w:spacing w:after="0"/>
        <w:rPr>
          <w:rFonts w:cs="Arial"/>
        </w:rPr>
      </w:pPr>
    </w:p>
    <w:tbl>
      <w:tblPr>
        <w:tblW w:w="9062" w:type="dxa"/>
        <w:tblInd w:w="5" w:type="dxa"/>
        <w:tblLayout w:type="fixed"/>
        <w:tblLook w:val="04A0" w:firstRow="1" w:lastRow="0" w:firstColumn="1" w:lastColumn="0" w:noHBand="0" w:noVBand="1"/>
      </w:tblPr>
      <w:tblGrid>
        <w:gridCol w:w="2542"/>
        <w:gridCol w:w="3260"/>
        <w:gridCol w:w="3260"/>
      </w:tblGrid>
      <w:tr w:rsidR="002F12B1" w14:paraId="18616BB0" w14:textId="77777777" w:rsidTr="00D10794">
        <w:trPr>
          <w:trHeight w:val="34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AA73" w14:textId="77777777" w:rsidR="00D10794" w:rsidRPr="00A97D23" w:rsidRDefault="00D10794" w:rsidP="00D10794">
            <w:pPr>
              <w:spacing w:after="0"/>
              <w:rPr>
                <w:rFonts w:cs="Arial"/>
                <w:b/>
                <w:bCs/>
              </w:rPr>
            </w:pPr>
            <w:r w:rsidRPr="00A97D23">
              <w:rPr>
                <w:rFonts w:cs="Arial"/>
                <w:b/>
                <w:bCs/>
              </w:rPr>
              <w:t>Phase</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2F0EEEFF" w14:textId="77777777" w:rsidR="00D10794" w:rsidRPr="00A97D23" w:rsidRDefault="00D10794" w:rsidP="00D10794">
            <w:pPr>
              <w:spacing w:after="0"/>
              <w:jc w:val="center"/>
              <w:rPr>
                <w:rFonts w:cs="Arial"/>
                <w:b/>
                <w:szCs w:val="22"/>
              </w:rPr>
            </w:pPr>
            <w:r w:rsidRPr="00A97D23">
              <w:rPr>
                <w:rFonts w:cs="Arial"/>
                <w:b/>
                <w:szCs w:val="22"/>
              </w:rPr>
              <w:t>Count of deficit in year</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6AF371CB" w14:textId="77777777" w:rsidR="00D10794" w:rsidRPr="00A97D23" w:rsidRDefault="00D10794" w:rsidP="00D10794">
            <w:pPr>
              <w:spacing w:after="0"/>
              <w:jc w:val="center"/>
              <w:rPr>
                <w:rFonts w:cs="Arial"/>
                <w:b/>
                <w:szCs w:val="22"/>
              </w:rPr>
            </w:pPr>
            <w:r w:rsidRPr="00A97D23">
              <w:rPr>
                <w:rFonts w:cs="Arial"/>
                <w:b/>
                <w:szCs w:val="22"/>
              </w:rPr>
              <w:t>Count of surplus in year</w:t>
            </w:r>
          </w:p>
        </w:tc>
      </w:tr>
      <w:tr w:rsidR="002F12B1" w14:paraId="10DB49EC"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6C6D0AFD" w14:textId="77777777" w:rsidR="00D10794" w:rsidRPr="00A97D23" w:rsidRDefault="00D10794" w:rsidP="00D10794">
            <w:pPr>
              <w:spacing w:after="0"/>
              <w:rPr>
                <w:rFonts w:cs="Arial"/>
              </w:rPr>
            </w:pPr>
            <w:r w:rsidRPr="00A97D23">
              <w:rPr>
                <w:rFonts w:cs="Arial"/>
              </w:rPr>
              <w:t>Nursery</w:t>
            </w:r>
          </w:p>
        </w:tc>
        <w:tc>
          <w:tcPr>
            <w:tcW w:w="3260" w:type="dxa"/>
            <w:tcBorders>
              <w:top w:val="nil"/>
              <w:left w:val="nil"/>
              <w:bottom w:val="single" w:sz="4" w:space="0" w:color="auto"/>
              <w:right w:val="single" w:sz="4" w:space="0" w:color="auto"/>
            </w:tcBorders>
            <w:shd w:val="clear" w:color="auto" w:fill="auto"/>
            <w:noWrap/>
            <w:vAlign w:val="bottom"/>
          </w:tcPr>
          <w:p w14:paraId="2E4B73C3" w14:textId="77777777" w:rsidR="00D10794" w:rsidRPr="00A97D23" w:rsidRDefault="00D10794" w:rsidP="00D10794">
            <w:pPr>
              <w:spacing w:after="0"/>
              <w:jc w:val="center"/>
              <w:rPr>
                <w:rFonts w:cs="Arial"/>
                <w:szCs w:val="22"/>
              </w:rPr>
            </w:pPr>
            <w:r w:rsidRPr="00A97D23">
              <w:rPr>
                <w:rFonts w:cs="Arial"/>
                <w:szCs w:val="22"/>
              </w:rPr>
              <w:t>7</w:t>
            </w:r>
          </w:p>
        </w:tc>
        <w:tc>
          <w:tcPr>
            <w:tcW w:w="3260" w:type="dxa"/>
            <w:tcBorders>
              <w:top w:val="nil"/>
              <w:left w:val="nil"/>
              <w:bottom w:val="single" w:sz="4" w:space="0" w:color="auto"/>
              <w:right w:val="single" w:sz="4" w:space="0" w:color="auto"/>
            </w:tcBorders>
            <w:shd w:val="clear" w:color="auto" w:fill="auto"/>
            <w:noWrap/>
            <w:vAlign w:val="bottom"/>
          </w:tcPr>
          <w:p w14:paraId="1FA4D064" w14:textId="77777777" w:rsidR="00D10794" w:rsidRPr="00A97D23" w:rsidRDefault="00D10794" w:rsidP="00D10794">
            <w:pPr>
              <w:spacing w:after="0"/>
              <w:jc w:val="center"/>
              <w:rPr>
                <w:rFonts w:cs="Arial"/>
                <w:szCs w:val="22"/>
              </w:rPr>
            </w:pPr>
            <w:r w:rsidRPr="00A97D23">
              <w:rPr>
                <w:rFonts w:cs="Arial"/>
                <w:szCs w:val="22"/>
              </w:rPr>
              <w:t>17</w:t>
            </w:r>
          </w:p>
        </w:tc>
      </w:tr>
      <w:tr w:rsidR="002F12B1" w14:paraId="4990DAB1"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47AFA20C" w14:textId="77777777" w:rsidR="00D10794" w:rsidRPr="00A97D23" w:rsidRDefault="00D10794" w:rsidP="00D10794">
            <w:pPr>
              <w:spacing w:after="0"/>
              <w:rPr>
                <w:rFonts w:cs="Arial"/>
              </w:rPr>
            </w:pPr>
            <w:r w:rsidRPr="00A97D23">
              <w:rPr>
                <w:rFonts w:cs="Arial"/>
              </w:rPr>
              <w:t>Primary</w:t>
            </w:r>
          </w:p>
        </w:tc>
        <w:tc>
          <w:tcPr>
            <w:tcW w:w="3260" w:type="dxa"/>
            <w:tcBorders>
              <w:top w:val="nil"/>
              <w:left w:val="nil"/>
              <w:bottom w:val="single" w:sz="4" w:space="0" w:color="auto"/>
              <w:right w:val="single" w:sz="4" w:space="0" w:color="auto"/>
            </w:tcBorders>
            <w:shd w:val="clear" w:color="auto" w:fill="auto"/>
            <w:noWrap/>
            <w:vAlign w:val="bottom"/>
          </w:tcPr>
          <w:p w14:paraId="37E892DB" w14:textId="77777777" w:rsidR="00D10794" w:rsidRPr="00A97D23" w:rsidRDefault="00D10794" w:rsidP="00D10794">
            <w:pPr>
              <w:spacing w:after="0"/>
              <w:jc w:val="center"/>
              <w:rPr>
                <w:rFonts w:cs="Arial"/>
                <w:szCs w:val="22"/>
              </w:rPr>
            </w:pPr>
            <w:r w:rsidRPr="00A97D23">
              <w:rPr>
                <w:rFonts w:cs="Arial"/>
                <w:szCs w:val="22"/>
              </w:rPr>
              <w:t>56</w:t>
            </w:r>
          </w:p>
        </w:tc>
        <w:tc>
          <w:tcPr>
            <w:tcW w:w="3260" w:type="dxa"/>
            <w:tcBorders>
              <w:top w:val="nil"/>
              <w:left w:val="nil"/>
              <w:bottom w:val="single" w:sz="4" w:space="0" w:color="auto"/>
              <w:right w:val="single" w:sz="4" w:space="0" w:color="auto"/>
            </w:tcBorders>
            <w:shd w:val="clear" w:color="auto" w:fill="auto"/>
            <w:noWrap/>
            <w:vAlign w:val="bottom"/>
          </w:tcPr>
          <w:p w14:paraId="7056B5FF" w14:textId="77777777" w:rsidR="00D10794" w:rsidRPr="00A97D23" w:rsidRDefault="00D10794" w:rsidP="00D10794">
            <w:pPr>
              <w:spacing w:after="0"/>
              <w:jc w:val="center"/>
              <w:rPr>
                <w:rFonts w:cs="Arial"/>
                <w:szCs w:val="22"/>
              </w:rPr>
            </w:pPr>
            <w:r w:rsidRPr="00A97D23">
              <w:rPr>
                <w:rFonts w:cs="Arial"/>
                <w:szCs w:val="22"/>
              </w:rPr>
              <w:t>408</w:t>
            </w:r>
          </w:p>
        </w:tc>
      </w:tr>
      <w:tr w:rsidR="002F12B1" w14:paraId="05F78418"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5522973C" w14:textId="77777777" w:rsidR="00D10794" w:rsidRPr="00A97D23" w:rsidRDefault="00D10794" w:rsidP="00D10794">
            <w:pPr>
              <w:spacing w:after="0"/>
              <w:rPr>
                <w:rFonts w:cs="Arial"/>
              </w:rPr>
            </w:pPr>
            <w:r w:rsidRPr="00A97D23">
              <w:rPr>
                <w:rFonts w:cs="Arial"/>
              </w:rPr>
              <w:t>Secondary</w:t>
            </w:r>
          </w:p>
        </w:tc>
        <w:tc>
          <w:tcPr>
            <w:tcW w:w="3260" w:type="dxa"/>
            <w:tcBorders>
              <w:top w:val="nil"/>
              <w:left w:val="nil"/>
              <w:bottom w:val="single" w:sz="4" w:space="0" w:color="auto"/>
              <w:right w:val="single" w:sz="4" w:space="0" w:color="auto"/>
            </w:tcBorders>
            <w:shd w:val="clear" w:color="auto" w:fill="auto"/>
            <w:noWrap/>
            <w:vAlign w:val="bottom"/>
          </w:tcPr>
          <w:p w14:paraId="2B10B7F5" w14:textId="77777777" w:rsidR="00D10794" w:rsidRPr="00A97D23" w:rsidRDefault="00D10794" w:rsidP="00D10794">
            <w:pPr>
              <w:spacing w:after="0"/>
              <w:jc w:val="center"/>
              <w:rPr>
                <w:rFonts w:cs="Arial"/>
                <w:szCs w:val="22"/>
              </w:rPr>
            </w:pPr>
            <w:r w:rsidRPr="00A97D23">
              <w:rPr>
                <w:rFonts w:cs="Arial"/>
                <w:szCs w:val="22"/>
              </w:rPr>
              <w:t>5</w:t>
            </w:r>
          </w:p>
        </w:tc>
        <w:tc>
          <w:tcPr>
            <w:tcW w:w="3260" w:type="dxa"/>
            <w:tcBorders>
              <w:top w:val="nil"/>
              <w:left w:val="nil"/>
              <w:bottom w:val="single" w:sz="4" w:space="0" w:color="auto"/>
              <w:right w:val="single" w:sz="4" w:space="0" w:color="auto"/>
            </w:tcBorders>
            <w:shd w:val="clear" w:color="auto" w:fill="auto"/>
            <w:noWrap/>
            <w:vAlign w:val="bottom"/>
          </w:tcPr>
          <w:p w14:paraId="3B6DFFB5" w14:textId="77777777" w:rsidR="00D10794" w:rsidRPr="00A97D23" w:rsidRDefault="00D10794" w:rsidP="00D10794">
            <w:pPr>
              <w:spacing w:after="0"/>
              <w:jc w:val="center"/>
              <w:rPr>
                <w:rFonts w:cs="Arial"/>
                <w:szCs w:val="22"/>
              </w:rPr>
            </w:pPr>
            <w:r w:rsidRPr="00A97D23">
              <w:rPr>
                <w:rFonts w:cs="Arial"/>
                <w:szCs w:val="22"/>
              </w:rPr>
              <w:t>43</w:t>
            </w:r>
          </w:p>
        </w:tc>
      </w:tr>
      <w:tr w:rsidR="002F12B1" w14:paraId="47093521"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03934F2F" w14:textId="77777777" w:rsidR="00D10794" w:rsidRPr="00A97D23" w:rsidRDefault="00D10794" w:rsidP="00D10794">
            <w:pPr>
              <w:spacing w:after="0"/>
              <w:rPr>
                <w:rFonts w:cs="Arial"/>
              </w:rPr>
            </w:pPr>
            <w:r w:rsidRPr="00A97D23">
              <w:rPr>
                <w:rFonts w:cs="Arial"/>
              </w:rPr>
              <w:t>Special</w:t>
            </w:r>
          </w:p>
        </w:tc>
        <w:tc>
          <w:tcPr>
            <w:tcW w:w="3260" w:type="dxa"/>
            <w:tcBorders>
              <w:top w:val="nil"/>
              <w:left w:val="nil"/>
              <w:bottom w:val="single" w:sz="4" w:space="0" w:color="auto"/>
              <w:right w:val="single" w:sz="4" w:space="0" w:color="auto"/>
            </w:tcBorders>
            <w:shd w:val="clear" w:color="auto" w:fill="auto"/>
            <w:noWrap/>
            <w:vAlign w:val="bottom"/>
          </w:tcPr>
          <w:p w14:paraId="455175F9" w14:textId="77777777" w:rsidR="00D10794" w:rsidRPr="00A97D23" w:rsidRDefault="00D10794" w:rsidP="00D10794">
            <w:pPr>
              <w:spacing w:after="0"/>
              <w:jc w:val="center"/>
              <w:rPr>
                <w:rFonts w:cs="Arial"/>
                <w:szCs w:val="22"/>
              </w:rPr>
            </w:pPr>
            <w:r w:rsidRPr="00A97D23">
              <w:rPr>
                <w:rFonts w:cs="Arial"/>
                <w:szCs w:val="22"/>
              </w:rPr>
              <w:t>2</w:t>
            </w:r>
          </w:p>
        </w:tc>
        <w:tc>
          <w:tcPr>
            <w:tcW w:w="3260" w:type="dxa"/>
            <w:tcBorders>
              <w:top w:val="nil"/>
              <w:left w:val="nil"/>
              <w:bottom w:val="single" w:sz="4" w:space="0" w:color="auto"/>
              <w:right w:val="single" w:sz="4" w:space="0" w:color="auto"/>
            </w:tcBorders>
            <w:shd w:val="clear" w:color="auto" w:fill="auto"/>
            <w:noWrap/>
            <w:vAlign w:val="bottom"/>
          </w:tcPr>
          <w:p w14:paraId="61279843" w14:textId="77777777" w:rsidR="00D10794" w:rsidRPr="00A97D23" w:rsidRDefault="00D10794" w:rsidP="00D10794">
            <w:pPr>
              <w:spacing w:after="0"/>
              <w:jc w:val="center"/>
              <w:rPr>
                <w:rFonts w:cs="Arial"/>
                <w:szCs w:val="22"/>
              </w:rPr>
            </w:pPr>
            <w:r w:rsidRPr="00A97D23">
              <w:rPr>
                <w:rFonts w:cs="Arial"/>
                <w:szCs w:val="22"/>
              </w:rPr>
              <w:t>27</w:t>
            </w:r>
          </w:p>
        </w:tc>
      </w:tr>
      <w:tr w:rsidR="002F12B1" w14:paraId="5512F821"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47481751" w14:textId="77777777" w:rsidR="00D10794" w:rsidRPr="00A97D23" w:rsidRDefault="00D10794" w:rsidP="00D10794">
            <w:pPr>
              <w:spacing w:after="0"/>
              <w:rPr>
                <w:rFonts w:cs="Arial"/>
              </w:rPr>
            </w:pPr>
            <w:r w:rsidRPr="00A97D23">
              <w:rPr>
                <w:rFonts w:cs="Arial"/>
              </w:rPr>
              <w:t xml:space="preserve">Short Stay </w:t>
            </w:r>
          </w:p>
        </w:tc>
        <w:tc>
          <w:tcPr>
            <w:tcW w:w="3260" w:type="dxa"/>
            <w:tcBorders>
              <w:top w:val="nil"/>
              <w:left w:val="nil"/>
              <w:bottom w:val="single" w:sz="4" w:space="0" w:color="auto"/>
              <w:right w:val="single" w:sz="4" w:space="0" w:color="auto"/>
            </w:tcBorders>
            <w:shd w:val="clear" w:color="auto" w:fill="auto"/>
            <w:noWrap/>
            <w:vAlign w:val="bottom"/>
          </w:tcPr>
          <w:p w14:paraId="33B36095" w14:textId="77777777" w:rsidR="00D10794" w:rsidRPr="00A97D23" w:rsidRDefault="00D10794" w:rsidP="00D10794">
            <w:pPr>
              <w:spacing w:after="0"/>
              <w:jc w:val="center"/>
              <w:rPr>
                <w:rFonts w:cs="Arial"/>
                <w:szCs w:val="22"/>
              </w:rPr>
            </w:pPr>
            <w:r w:rsidRPr="00A97D23">
              <w:rPr>
                <w:rFonts w:cs="Arial"/>
                <w:szCs w:val="22"/>
              </w:rPr>
              <w:t>0</w:t>
            </w:r>
          </w:p>
        </w:tc>
        <w:tc>
          <w:tcPr>
            <w:tcW w:w="3260" w:type="dxa"/>
            <w:tcBorders>
              <w:top w:val="nil"/>
              <w:left w:val="nil"/>
              <w:bottom w:val="single" w:sz="4" w:space="0" w:color="auto"/>
              <w:right w:val="single" w:sz="4" w:space="0" w:color="auto"/>
            </w:tcBorders>
            <w:shd w:val="clear" w:color="auto" w:fill="auto"/>
            <w:noWrap/>
            <w:vAlign w:val="bottom"/>
          </w:tcPr>
          <w:p w14:paraId="038D0C06" w14:textId="77777777" w:rsidR="00D10794" w:rsidRPr="00A97D23" w:rsidRDefault="00D10794" w:rsidP="00D10794">
            <w:pPr>
              <w:spacing w:after="0"/>
              <w:jc w:val="center"/>
              <w:rPr>
                <w:rFonts w:cs="Arial"/>
                <w:szCs w:val="22"/>
              </w:rPr>
            </w:pPr>
            <w:r w:rsidRPr="00A97D23">
              <w:rPr>
                <w:rFonts w:cs="Arial"/>
                <w:szCs w:val="22"/>
              </w:rPr>
              <w:t>9</w:t>
            </w:r>
          </w:p>
        </w:tc>
      </w:tr>
      <w:tr w:rsidR="002F12B1" w14:paraId="59613808" w14:textId="77777777" w:rsidTr="00D10794">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53C5DB6F" w14:textId="77777777" w:rsidR="00D10794" w:rsidRPr="00A97D23" w:rsidRDefault="00D10794" w:rsidP="00D10794">
            <w:pPr>
              <w:spacing w:after="0"/>
              <w:rPr>
                <w:rFonts w:cs="Arial"/>
                <w:b/>
                <w:bCs/>
              </w:rPr>
            </w:pPr>
            <w:r w:rsidRPr="00A97D23">
              <w:rPr>
                <w:rFonts w:cs="Arial"/>
                <w:b/>
                <w:bCs/>
              </w:rPr>
              <w:t>Total</w:t>
            </w:r>
          </w:p>
        </w:tc>
        <w:tc>
          <w:tcPr>
            <w:tcW w:w="3260" w:type="dxa"/>
            <w:tcBorders>
              <w:top w:val="nil"/>
              <w:left w:val="nil"/>
              <w:bottom w:val="single" w:sz="4" w:space="0" w:color="auto"/>
              <w:right w:val="single" w:sz="4" w:space="0" w:color="auto"/>
            </w:tcBorders>
            <w:shd w:val="clear" w:color="auto" w:fill="auto"/>
            <w:noWrap/>
            <w:vAlign w:val="bottom"/>
          </w:tcPr>
          <w:p w14:paraId="68801C2B" w14:textId="77777777" w:rsidR="00D10794" w:rsidRPr="00A97D23" w:rsidRDefault="00D10794" w:rsidP="00D10794">
            <w:pPr>
              <w:spacing w:after="0"/>
              <w:jc w:val="center"/>
              <w:rPr>
                <w:rFonts w:cs="Arial"/>
                <w:b/>
                <w:szCs w:val="22"/>
              </w:rPr>
            </w:pPr>
            <w:r w:rsidRPr="00A97D23">
              <w:rPr>
                <w:rFonts w:cs="Arial"/>
                <w:b/>
                <w:szCs w:val="22"/>
              </w:rPr>
              <w:t>70</w:t>
            </w:r>
          </w:p>
        </w:tc>
        <w:tc>
          <w:tcPr>
            <w:tcW w:w="3260" w:type="dxa"/>
            <w:tcBorders>
              <w:top w:val="nil"/>
              <w:left w:val="nil"/>
              <w:bottom w:val="single" w:sz="4" w:space="0" w:color="auto"/>
              <w:right w:val="single" w:sz="4" w:space="0" w:color="auto"/>
            </w:tcBorders>
            <w:shd w:val="clear" w:color="auto" w:fill="auto"/>
            <w:noWrap/>
            <w:vAlign w:val="bottom"/>
          </w:tcPr>
          <w:p w14:paraId="15C59E93" w14:textId="77777777" w:rsidR="00D10794" w:rsidRPr="00A97D23" w:rsidRDefault="00D10794" w:rsidP="00D10794">
            <w:pPr>
              <w:spacing w:after="0"/>
              <w:jc w:val="center"/>
              <w:rPr>
                <w:rFonts w:cs="Arial"/>
                <w:b/>
                <w:szCs w:val="22"/>
              </w:rPr>
            </w:pPr>
            <w:r w:rsidRPr="00A97D23">
              <w:rPr>
                <w:rFonts w:cs="Arial"/>
                <w:b/>
                <w:szCs w:val="22"/>
              </w:rPr>
              <w:t>504</w:t>
            </w:r>
          </w:p>
        </w:tc>
      </w:tr>
    </w:tbl>
    <w:p w14:paraId="01AF6174" w14:textId="77777777" w:rsidR="00D10794" w:rsidRDefault="00D10794" w:rsidP="00D10794">
      <w:pPr>
        <w:spacing w:after="0"/>
        <w:jc w:val="center"/>
        <w:rPr>
          <w:rFonts w:cs="Arial"/>
        </w:rPr>
      </w:pPr>
    </w:p>
    <w:p w14:paraId="403A4AC0" w14:textId="77777777" w:rsidR="00D10794" w:rsidRDefault="00D10794" w:rsidP="00D10794">
      <w:pPr>
        <w:spacing w:after="0"/>
        <w:rPr>
          <w:rFonts w:cs="Arial"/>
        </w:rPr>
      </w:pPr>
      <w:proofErr w:type="gramStart"/>
      <w:r>
        <w:rPr>
          <w:rFonts w:cs="Arial"/>
        </w:rPr>
        <w:t>The majority of</w:t>
      </w:r>
      <w:proofErr w:type="gramEnd"/>
      <w:r>
        <w:rPr>
          <w:rFonts w:cs="Arial"/>
        </w:rPr>
        <w:t xml:space="preserve"> individual schools operated an in-year surplus in the year to 31 March 2021.  This equated to 504 schools (88%) operating an in-year surplus, with 70 schools (12%) operating an in-year deficit.  For comparison, 44% of schools reported an in-year deficit in 2019/20.</w:t>
      </w:r>
    </w:p>
    <w:p w14:paraId="175276A8" w14:textId="77777777" w:rsidR="00D10794" w:rsidRDefault="00D10794" w:rsidP="00D10794">
      <w:pPr>
        <w:spacing w:after="0"/>
        <w:rPr>
          <w:rFonts w:cs="Arial"/>
        </w:rPr>
      </w:pPr>
    </w:p>
    <w:p w14:paraId="519EB969" w14:textId="77777777" w:rsidR="00D10794" w:rsidRDefault="00D10794" w:rsidP="00D10794">
      <w:pPr>
        <w:spacing w:after="0"/>
        <w:rPr>
          <w:rFonts w:cs="Arial"/>
        </w:rPr>
      </w:pPr>
      <w:r>
        <w:rPr>
          <w:rFonts w:cs="Arial"/>
        </w:rPr>
        <w:t>The percentages of schools with an in-year surplus in 2020/21 was similar to the overall figure, or higher, in all phases, except for the nursery school sector, where 71% of schools reported an in-year surplus, with 29% operating an in-year deficit.</w:t>
      </w:r>
    </w:p>
    <w:p w14:paraId="513BDBB1" w14:textId="77777777" w:rsidR="00D10794" w:rsidRPr="008940E6" w:rsidRDefault="00D10794" w:rsidP="00D10794">
      <w:pPr>
        <w:spacing w:after="0"/>
        <w:rPr>
          <w:rFonts w:cs="Arial"/>
        </w:rPr>
      </w:pPr>
    </w:p>
    <w:p w14:paraId="0067FA62" w14:textId="77777777" w:rsidR="00D10794" w:rsidRPr="000B4311" w:rsidRDefault="00D10794" w:rsidP="00D10794">
      <w:pPr>
        <w:spacing w:after="0"/>
        <w:rPr>
          <w:rFonts w:cs="Arial"/>
          <w:b/>
        </w:rPr>
      </w:pPr>
      <w:r>
        <w:rPr>
          <w:rFonts w:cs="Arial"/>
          <w:b/>
        </w:rPr>
        <w:t>2020/21</w:t>
      </w:r>
      <w:r w:rsidRPr="000B4311">
        <w:rPr>
          <w:rFonts w:cs="Arial"/>
          <w:b/>
        </w:rPr>
        <w:t xml:space="preserve"> School Balances – N</w:t>
      </w:r>
      <w:r>
        <w:rPr>
          <w:rFonts w:cs="Arial"/>
          <w:b/>
        </w:rPr>
        <w:t>umber</w:t>
      </w:r>
      <w:r w:rsidRPr="000B4311">
        <w:rPr>
          <w:rFonts w:cs="Arial"/>
          <w:b/>
        </w:rPr>
        <w:t xml:space="preserve"> of Schools in Surplus/Deficit by Phase</w:t>
      </w:r>
    </w:p>
    <w:p w14:paraId="2FFD365A" w14:textId="77777777" w:rsidR="00D10794" w:rsidRPr="000B4311" w:rsidRDefault="00D10794" w:rsidP="00D10794">
      <w:pPr>
        <w:spacing w:after="0"/>
        <w:rPr>
          <w:rFonts w:cs="Arial"/>
        </w:rPr>
      </w:pPr>
    </w:p>
    <w:tbl>
      <w:tblPr>
        <w:tblW w:w="8921" w:type="dxa"/>
        <w:tblInd w:w="5" w:type="dxa"/>
        <w:tblLayout w:type="fixed"/>
        <w:tblLook w:val="04A0" w:firstRow="1" w:lastRow="0" w:firstColumn="1" w:lastColumn="0" w:noHBand="0" w:noVBand="1"/>
      </w:tblPr>
      <w:tblGrid>
        <w:gridCol w:w="3109"/>
        <w:gridCol w:w="2977"/>
        <w:gridCol w:w="2835"/>
      </w:tblGrid>
      <w:tr w:rsidR="002F12B1" w14:paraId="6065684E" w14:textId="77777777" w:rsidTr="00D10794">
        <w:trPr>
          <w:trHeight w:val="34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EFBE" w14:textId="77777777" w:rsidR="00D10794" w:rsidRPr="00725309" w:rsidRDefault="00D10794" w:rsidP="00D10794">
            <w:pPr>
              <w:spacing w:after="0"/>
              <w:rPr>
                <w:rFonts w:cs="Arial"/>
                <w:b/>
                <w:bCs/>
              </w:rPr>
            </w:pPr>
            <w:r w:rsidRPr="00725309">
              <w:rPr>
                <w:rFonts w:cs="Arial"/>
                <w:b/>
                <w:bCs/>
              </w:rPr>
              <w:t>Phase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446C141B" w14:textId="77777777" w:rsidR="00D10794" w:rsidRPr="00725309" w:rsidRDefault="00D10794" w:rsidP="00D10794">
            <w:pPr>
              <w:spacing w:after="0"/>
              <w:jc w:val="center"/>
              <w:rPr>
                <w:rFonts w:cs="Arial"/>
                <w:b/>
                <w:szCs w:val="22"/>
              </w:rPr>
            </w:pPr>
            <w:r w:rsidRPr="00725309">
              <w:rPr>
                <w:rFonts w:cs="Arial"/>
                <w:b/>
                <w:szCs w:val="22"/>
              </w:rPr>
              <w:t>Count of deficit close balance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14C1F9D" w14:textId="77777777" w:rsidR="00D10794" w:rsidRPr="00725309" w:rsidRDefault="00D10794" w:rsidP="00D10794">
            <w:pPr>
              <w:spacing w:after="0"/>
              <w:jc w:val="center"/>
              <w:rPr>
                <w:rFonts w:cs="Arial"/>
                <w:b/>
                <w:szCs w:val="22"/>
              </w:rPr>
            </w:pPr>
            <w:r w:rsidRPr="00725309">
              <w:rPr>
                <w:rFonts w:cs="Arial"/>
                <w:b/>
                <w:szCs w:val="22"/>
              </w:rPr>
              <w:t>Count of surplus close balance</w:t>
            </w:r>
          </w:p>
        </w:tc>
      </w:tr>
      <w:tr w:rsidR="002F12B1" w14:paraId="76D6AF7D"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D5F60DD" w14:textId="77777777" w:rsidR="00D10794" w:rsidRPr="00725309" w:rsidRDefault="00D10794" w:rsidP="00D10794">
            <w:pPr>
              <w:spacing w:after="0"/>
              <w:rPr>
                <w:rFonts w:cs="Arial"/>
              </w:rPr>
            </w:pPr>
            <w:r w:rsidRPr="00725309">
              <w:rPr>
                <w:rFonts w:cs="Arial"/>
              </w:rPr>
              <w:t>Nursery</w:t>
            </w:r>
          </w:p>
        </w:tc>
        <w:tc>
          <w:tcPr>
            <w:tcW w:w="2977" w:type="dxa"/>
            <w:tcBorders>
              <w:top w:val="nil"/>
              <w:left w:val="nil"/>
              <w:bottom w:val="single" w:sz="4" w:space="0" w:color="auto"/>
              <w:right w:val="single" w:sz="4" w:space="0" w:color="auto"/>
            </w:tcBorders>
            <w:shd w:val="clear" w:color="auto" w:fill="auto"/>
            <w:noWrap/>
            <w:vAlign w:val="bottom"/>
            <w:hideMark/>
          </w:tcPr>
          <w:p w14:paraId="3F13CC23" w14:textId="77777777" w:rsidR="00D10794" w:rsidRPr="00725309" w:rsidRDefault="00D10794" w:rsidP="00D10794">
            <w:pPr>
              <w:spacing w:after="0"/>
              <w:jc w:val="center"/>
              <w:rPr>
                <w:rFonts w:cs="Arial"/>
                <w:szCs w:val="22"/>
              </w:rPr>
            </w:pPr>
            <w:r w:rsidRPr="00725309">
              <w:rPr>
                <w:rFonts w:cs="Arial"/>
                <w:szCs w:val="22"/>
              </w:rPr>
              <w:t>7</w:t>
            </w:r>
          </w:p>
        </w:tc>
        <w:tc>
          <w:tcPr>
            <w:tcW w:w="2835" w:type="dxa"/>
            <w:tcBorders>
              <w:top w:val="nil"/>
              <w:left w:val="nil"/>
              <w:bottom w:val="single" w:sz="4" w:space="0" w:color="auto"/>
              <w:right w:val="single" w:sz="4" w:space="0" w:color="auto"/>
            </w:tcBorders>
            <w:shd w:val="clear" w:color="auto" w:fill="auto"/>
            <w:noWrap/>
            <w:vAlign w:val="bottom"/>
            <w:hideMark/>
          </w:tcPr>
          <w:p w14:paraId="758B29FC" w14:textId="77777777" w:rsidR="00D10794" w:rsidRPr="00725309" w:rsidRDefault="00D10794" w:rsidP="00D10794">
            <w:pPr>
              <w:spacing w:after="0"/>
              <w:jc w:val="center"/>
              <w:rPr>
                <w:rFonts w:cs="Arial"/>
                <w:szCs w:val="22"/>
              </w:rPr>
            </w:pPr>
            <w:r w:rsidRPr="00725309">
              <w:rPr>
                <w:rFonts w:cs="Arial"/>
                <w:szCs w:val="22"/>
              </w:rPr>
              <w:t>17</w:t>
            </w:r>
          </w:p>
        </w:tc>
      </w:tr>
      <w:tr w:rsidR="002F12B1" w14:paraId="4197C4C0"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51753DC" w14:textId="77777777" w:rsidR="00D10794" w:rsidRPr="00725309" w:rsidRDefault="00D10794" w:rsidP="00D10794">
            <w:pPr>
              <w:spacing w:after="0"/>
              <w:rPr>
                <w:rFonts w:cs="Arial"/>
              </w:rPr>
            </w:pPr>
            <w:r w:rsidRPr="00725309">
              <w:rPr>
                <w:rFonts w:cs="Arial"/>
              </w:rPr>
              <w:t>Primary</w:t>
            </w:r>
          </w:p>
        </w:tc>
        <w:tc>
          <w:tcPr>
            <w:tcW w:w="2977" w:type="dxa"/>
            <w:tcBorders>
              <w:top w:val="nil"/>
              <w:left w:val="nil"/>
              <w:bottom w:val="single" w:sz="4" w:space="0" w:color="auto"/>
              <w:right w:val="single" w:sz="4" w:space="0" w:color="auto"/>
            </w:tcBorders>
            <w:shd w:val="clear" w:color="auto" w:fill="auto"/>
            <w:noWrap/>
            <w:vAlign w:val="bottom"/>
            <w:hideMark/>
          </w:tcPr>
          <w:p w14:paraId="0AF8E5BC" w14:textId="77777777" w:rsidR="00D10794" w:rsidRPr="00725309" w:rsidRDefault="00D10794" w:rsidP="00D10794">
            <w:pPr>
              <w:spacing w:after="0"/>
              <w:jc w:val="center"/>
              <w:rPr>
                <w:rFonts w:cs="Arial"/>
                <w:szCs w:val="22"/>
              </w:rPr>
            </w:pPr>
            <w:r w:rsidRPr="00725309">
              <w:rPr>
                <w:rFonts w:cs="Arial"/>
                <w:szCs w:val="22"/>
              </w:rPr>
              <w:t>12</w:t>
            </w:r>
          </w:p>
        </w:tc>
        <w:tc>
          <w:tcPr>
            <w:tcW w:w="2835" w:type="dxa"/>
            <w:tcBorders>
              <w:top w:val="nil"/>
              <w:left w:val="nil"/>
              <w:bottom w:val="single" w:sz="4" w:space="0" w:color="auto"/>
              <w:right w:val="single" w:sz="4" w:space="0" w:color="auto"/>
            </w:tcBorders>
            <w:shd w:val="clear" w:color="auto" w:fill="auto"/>
            <w:noWrap/>
            <w:vAlign w:val="bottom"/>
            <w:hideMark/>
          </w:tcPr>
          <w:p w14:paraId="0992035D" w14:textId="77777777" w:rsidR="00D10794" w:rsidRPr="00725309" w:rsidRDefault="00D10794" w:rsidP="00D10794">
            <w:pPr>
              <w:spacing w:after="0"/>
              <w:jc w:val="center"/>
              <w:rPr>
                <w:rFonts w:cs="Arial"/>
                <w:szCs w:val="22"/>
              </w:rPr>
            </w:pPr>
            <w:r w:rsidRPr="00725309">
              <w:rPr>
                <w:rFonts w:cs="Arial"/>
                <w:szCs w:val="22"/>
              </w:rPr>
              <w:t>452</w:t>
            </w:r>
          </w:p>
        </w:tc>
      </w:tr>
      <w:tr w:rsidR="002F12B1" w14:paraId="0AFCFC01"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7663DBE7" w14:textId="77777777" w:rsidR="00D10794" w:rsidRPr="00725309" w:rsidRDefault="00D10794" w:rsidP="00D10794">
            <w:pPr>
              <w:spacing w:after="0"/>
              <w:rPr>
                <w:rFonts w:cs="Arial"/>
              </w:rPr>
            </w:pPr>
            <w:r w:rsidRPr="00725309">
              <w:rPr>
                <w:rFonts w:cs="Arial"/>
              </w:rPr>
              <w:t>Secondary</w:t>
            </w:r>
          </w:p>
        </w:tc>
        <w:tc>
          <w:tcPr>
            <w:tcW w:w="2977" w:type="dxa"/>
            <w:tcBorders>
              <w:top w:val="nil"/>
              <w:left w:val="nil"/>
              <w:bottom w:val="single" w:sz="4" w:space="0" w:color="auto"/>
              <w:right w:val="single" w:sz="4" w:space="0" w:color="auto"/>
            </w:tcBorders>
            <w:shd w:val="clear" w:color="auto" w:fill="auto"/>
            <w:noWrap/>
            <w:vAlign w:val="bottom"/>
            <w:hideMark/>
          </w:tcPr>
          <w:p w14:paraId="6FF82B2B" w14:textId="77777777" w:rsidR="00D10794" w:rsidRPr="00725309" w:rsidRDefault="00D10794" w:rsidP="00D10794">
            <w:pPr>
              <w:spacing w:after="0"/>
              <w:jc w:val="center"/>
              <w:rPr>
                <w:rFonts w:cs="Arial"/>
                <w:szCs w:val="22"/>
              </w:rPr>
            </w:pPr>
            <w:r w:rsidRPr="00725309">
              <w:rPr>
                <w:rFonts w:cs="Arial"/>
                <w:szCs w:val="22"/>
              </w:rPr>
              <w:t>5</w:t>
            </w:r>
          </w:p>
        </w:tc>
        <w:tc>
          <w:tcPr>
            <w:tcW w:w="2835" w:type="dxa"/>
            <w:tcBorders>
              <w:top w:val="nil"/>
              <w:left w:val="nil"/>
              <w:bottom w:val="single" w:sz="4" w:space="0" w:color="auto"/>
              <w:right w:val="single" w:sz="4" w:space="0" w:color="auto"/>
            </w:tcBorders>
            <w:shd w:val="clear" w:color="auto" w:fill="auto"/>
            <w:noWrap/>
            <w:vAlign w:val="bottom"/>
            <w:hideMark/>
          </w:tcPr>
          <w:p w14:paraId="1E9D1360" w14:textId="77777777" w:rsidR="00D10794" w:rsidRPr="00725309" w:rsidRDefault="00D10794" w:rsidP="00D10794">
            <w:pPr>
              <w:spacing w:after="0"/>
              <w:jc w:val="center"/>
              <w:rPr>
                <w:rFonts w:cs="Arial"/>
                <w:szCs w:val="22"/>
              </w:rPr>
            </w:pPr>
            <w:r w:rsidRPr="00725309">
              <w:rPr>
                <w:rFonts w:cs="Arial"/>
                <w:szCs w:val="22"/>
              </w:rPr>
              <w:t>43</w:t>
            </w:r>
          </w:p>
        </w:tc>
      </w:tr>
      <w:tr w:rsidR="002F12B1" w14:paraId="33BF3689"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65C79B2" w14:textId="77777777" w:rsidR="00D10794" w:rsidRPr="00725309" w:rsidRDefault="00D10794" w:rsidP="00D10794">
            <w:pPr>
              <w:spacing w:after="0"/>
              <w:rPr>
                <w:rFonts w:cs="Arial"/>
              </w:rPr>
            </w:pPr>
            <w:r w:rsidRPr="00725309">
              <w:rPr>
                <w:rFonts w:cs="Arial"/>
              </w:rPr>
              <w:t>Special</w:t>
            </w:r>
          </w:p>
        </w:tc>
        <w:tc>
          <w:tcPr>
            <w:tcW w:w="2977" w:type="dxa"/>
            <w:tcBorders>
              <w:top w:val="nil"/>
              <w:left w:val="nil"/>
              <w:bottom w:val="single" w:sz="4" w:space="0" w:color="auto"/>
              <w:right w:val="single" w:sz="4" w:space="0" w:color="auto"/>
            </w:tcBorders>
            <w:shd w:val="clear" w:color="auto" w:fill="auto"/>
            <w:noWrap/>
            <w:vAlign w:val="bottom"/>
            <w:hideMark/>
          </w:tcPr>
          <w:p w14:paraId="44B57882" w14:textId="77777777" w:rsidR="00D10794" w:rsidRPr="00725309" w:rsidRDefault="00D10794" w:rsidP="00D10794">
            <w:pPr>
              <w:spacing w:after="0"/>
              <w:jc w:val="center"/>
              <w:rPr>
                <w:rFonts w:cs="Arial"/>
                <w:szCs w:val="22"/>
              </w:rPr>
            </w:pPr>
            <w:r w:rsidRPr="00725309">
              <w:rPr>
                <w:rFonts w:cs="Arial"/>
                <w:szCs w:val="22"/>
              </w:rPr>
              <w:t>5</w:t>
            </w:r>
          </w:p>
        </w:tc>
        <w:tc>
          <w:tcPr>
            <w:tcW w:w="2835" w:type="dxa"/>
            <w:tcBorders>
              <w:top w:val="nil"/>
              <w:left w:val="nil"/>
              <w:bottom w:val="single" w:sz="4" w:space="0" w:color="auto"/>
              <w:right w:val="single" w:sz="4" w:space="0" w:color="auto"/>
            </w:tcBorders>
            <w:shd w:val="clear" w:color="auto" w:fill="auto"/>
            <w:noWrap/>
            <w:vAlign w:val="bottom"/>
            <w:hideMark/>
          </w:tcPr>
          <w:p w14:paraId="00DCDAB6" w14:textId="77777777" w:rsidR="00D10794" w:rsidRPr="00725309" w:rsidRDefault="00D10794" w:rsidP="00D10794">
            <w:pPr>
              <w:spacing w:after="0"/>
              <w:jc w:val="center"/>
              <w:rPr>
                <w:rFonts w:cs="Arial"/>
                <w:szCs w:val="22"/>
              </w:rPr>
            </w:pPr>
            <w:r w:rsidRPr="00725309">
              <w:rPr>
                <w:rFonts w:cs="Arial"/>
                <w:szCs w:val="22"/>
              </w:rPr>
              <w:t>24</w:t>
            </w:r>
          </w:p>
        </w:tc>
      </w:tr>
      <w:tr w:rsidR="002F12B1" w14:paraId="2FE5CFF8"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499BE503" w14:textId="77777777" w:rsidR="00D10794" w:rsidRPr="00725309" w:rsidRDefault="00D10794" w:rsidP="00D10794">
            <w:pPr>
              <w:spacing w:after="0"/>
              <w:rPr>
                <w:rFonts w:cs="Arial"/>
              </w:rPr>
            </w:pPr>
            <w:r w:rsidRPr="00725309">
              <w:rPr>
                <w:rFonts w:cs="Arial"/>
              </w:rPr>
              <w:t xml:space="preserve">Short Stay </w:t>
            </w:r>
          </w:p>
        </w:tc>
        <w:tc>
          <w:tcPr>
            <w:tcW w:w="2977" w:type="dxa"/>
            <w:tcBorders>
              <w:top w:val="nil"/>
              <w:left w:val="nil"/>
              <w:bottom w:val="single" w:sz="4" w:space="0" w:color="auto"/>
              <w:right w:val="single" w:sz="4" w:space="0" w:color="auto"/>
            </w:tcBorders>
            <w:shd w:val="clear" w:color="auto" w:fill="auto"/>
            <w:noWrap/>
            <w:vAlign w:val="bottom"/>
            <w:hideMark/>
          </w:tcPr>
          <w:p w14:paraId="7CAD6EC1" w14:textId="77777777" w:rsidR="00D10794" w:rsidRPr="00725309" w:rsidRDefault="00D10794" w:rsidP="00D10794">
            <w:pPr>
              <w:spacing w:after="0"/>
              <w:jc w:val="center"/>
              <w:rPr>
                <w:rFonts w:cs="Arial"/>
                <w:szCs w:val="22"/>
              </w:rPr>
            </w:pPr>
            <w:r w:rsidRPr="00725309">
              <w:rPr>
                <w:rFonts w:cs="Arial"/>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14:paraId="247ECF5C" w14:textId="77777777" w:rsidR="00D10794" w:rsidRPr="00725309" w:rsidRDefault="00D10794" w:rsidP="00D10794">
            <w:pPr>
              <w:spacing w:after="0"/>
              <w:jc w:val="center"/>
              <w:rPr>
                <w:rFonts w:cs="Arial"/>
                <w:szCs w:val="22"/>
              </w:rPr>
            </w:pPr>
            <w:r w:rsidRPr="00725309">
              <w:rPr>
                <w:rFonts w:cs="Arial"/>
                <w:szCs w:val="22"/>
              </w:rPr>
              <w:t>8</w:t>
            </w:r>
          </w:p>
        </w:tc>
      </w:tr>
      <w:tr w:rsidR="002F12B1" w14:paraId="39468567" w14:textId="77777777" w:rsidTr="00D10794">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1E6824E1" w14:textId="77777777" w:rsidR="00D10794" w:rsidRPr="00725309" w:rsidRDefault="00D10794" w:rsidP="00D10794">
            <w:pPr>
              <w:spacing w:after="0"/>
              <w:rPr>
                <w:rFonts w:cs="Arial"/>
                <w:b/>
                <w:bCs/>
              </w:rPr>
            </w:pPr>
            <w:r w:rsidRPr="00725309">
              <w:rPr>
                <w:rFonts w:cs="Arial"/>
                <w:b/>
                <w:bCs/>
              </w:rPr>
              <w:t>Total</w:t>
            </w:r>
          </w:p>
        </w:tc>
        <w:tc>
          <w:tcPr>
            <w:tcW w:w="2977" w:type="dxa"/>
            <w:tcBorders>
              <w:top w:val="nil"/>
              <w:left w:val="nil"/>
              <w:bottom w:val="single" w:sz="4" w:space="0" w:color="auto"/>
              <w:right w:val="single" w:sz="4" w:space="0" w:color="auto"/>
            </w:tcBorders>
            <w:shd w:val="clear" w:color="auto" w:fill="auto"/>
            <w:noWrap/>
            <w:vAlign w:val="bottom"/>
            <w:hideMark/>
          </w:tcPr>
          <w:p w14:paraId="1C5B7FAB" w14:textId="77777777" w:rsidR="00D10794" w:rsidRPr="00725309" w:rsidRDefault="00D10794" w:rsidP="00D10794">
            <w:pPr>
              <w:spacing w:after="0"/>
              <w:jc w:val="center"/>
              <w:rPr>
                <w:rFonts w:cs="Arial"/>
                <w:b/>
                <w:szCs w:val="22"/>
              </w:rPr>
            </w:pPr>
            <w:r w:rsidRPr="00725309">
              <w:rPr>
                <w:rFonts w:cs="Arial"/>
                <w:b/>
                <w:szCs w:val="22"/>
              </w:rPr>
              <w:t>30</w:t>
            </w:r>
          </w:p>
        </w:tc>
        <w:tc>
          <w:tcPr>
            <w:tcW w:w="2835" w:type="dxa"/>
            <w:tcBorders>
              <w:top w:val="nil"/>
              <w:left w:val="nil"/>
              <w:bottom w:val="single" w:sz="4" w:space="0" w:color="auto"/>
              <w:right w:val="single" w:sz="4" w:space="0" w:color="auto"/>
            </w:tcBorders>
            <w:shd w:val="clear" w:color="auto" w:fill="auto"/>
            <w:noWrap/>
            <w:vAlign w:val="bottom"/>
            <w:hideMark/>
          </w:tcPr>
          <w:p w14:paraId="7D3D71DF" w14:textId="77777777" w:rsidR="00D10794" w:rsidRPr="00725309" w:rsidRDefault="00D10794" w:rsidP="00D10794">
            <w:pPr>
              <w:spacing w:after="0"/>
              <w:jc w:val="center"/>
              <w:rPr>
                <w:rFonts w:cs="Arial"/>
                <w:b/>
                <w:szCs w:val="22"/>
              </w:rPr>
            </w:pPr>
            <w:r w:rsidRPr="00725309">
              <w:rPr>
                <w:rFonts w:cs="Arial"/>
                <w:b/>
                <w:szCs w:val="22"/>
              </w:rPr>
              <w:t>544</w:t>
            </w:r>
          </w:p>
        </w:tc>
      </w:tr>
    </w:tbl>
    <w:p w14:paraId="617890F7" w14:textId="77777777" w:rsidR="00D10794" w:rsidRPr="008940E6" w:rsidRDefault="00D10794" w:rsidP="00D10794">
      <w:pPr>
        <w:spacing w:after="0"/>
        <w:rPr>
          <w:rFonts w:cs="Arial"/>
        </w:rPr>
      </w:pPr>
    </w:p>
    <w:p w14:paraId="695E37AF" w14:textId="77777777" w:rsidR="00D10794" w:rsidRDefault="00D10794" w:rsidP="00D10794">
      <w:pPr>
        <w:spacing w:after="0"/>
        <w:rPr>
          <w:rFonts w:cs="Arial"/>
        </w:rPr>
      </w:pPr>
      <w:r>
        <w:rPr>
          <w:rFonts w:cs="Arial"/>
        </w:rPr>
        <w:t>30</w:t>
      </w:r>
      <w:r w:rsidRPr="000B4311">
        <w:rPr>
          <w:rFonts w:cs="Arial"/>
        </w:rPr>
        <w:t xml:space="preserve"> schools ended the </w:t>
      </w:r>
      <w:r>
        <w:rPr>
          <w:rFonts w:cs="Arial"/>
        </w:rPr>
        <w:t>2020/21</w:t>
      </w:r>
      <w:r w:rsidRPr="000B4311">
        <w:rPr>
          <w:rFonts w:cs="Arial"/>
        </w:rPr>
        <w:t xml:space="preserve"> financial year in deficit.  The number of schools in deficit at 31 March 2</w:t>
      </w:r>
      <w:r>
        <w:rPr>
          <w:rFonts w:cs="Arial"/>
        </w:rPr>
        <w:t>021</w:t>
      </w:r>
      <w:r w:rsidRPr="000B4311">
        <w:rPr>
          <w:rFonts w:cs="Arial"/>
        </w:rPr>
        <w:t xml:space="preserve"> has </w:t>
      </w:r>
      <w:r>
        <w:rPr>
          <w:rFonts w:cs="Arial"/>
        </w:rPr>
        <w:t xml:space="preserve">decreased from 41 schools in deficit a year earlier. The nursery sector has the most concerning analysis, with 41% percent of the schools ending the year in deficit.  </w:t>
      </w:r>
    </w:p>
    <w:p w14:paraId="5E8B1A40" w14:textId="77777777" w:rsidR="00D10794" w:rsidRDefault="00D10794" w:rsidP="00D10794">
      <w:pPr>
        <w:spacing w:after="0"/>
        <w:rPr>
          <w:rFonts w:cs="Arial"/>
        </w:rPr>
      </w:pPr>
    </w:p>
    <w:p w14:paraId="197AF5C0" w14:textId="77777777" w:rsidR="00D10794" w:rsidRDefault="00D10794" w:rsidP="00D10794">
      <w:pPr>
        <w:spacing w:after="0"/>
        <w:rPr>
          <w:rFonts w:cs="Arial"/>
        </w:rPr>
      </w:pPr>
    </w:p>
    <w:p w14:paraId="1D327AD4" w14:textId="77777777" w:rsidR="00D10794" w:rsidRDefault="00D10794" w:rsidP="00D10794">
      <w:pPr>
        <w:spacing w:after="0"/>
        <w:rPr>
          <w:rFonts w:cs="Arial"/>
        </w:rPr>
      </w:pPr>
    </w:p>
    <w:p w14:paraId="349ED3B5" w14:textId="77777777" w:rsidR="00D10794" w:rsidRDefault="00D10794" w:rsidP="00D10794">
      <w:pPr>
        <w:spacing w:after="0"/>
        <w:rPr>
          <w:rFonts w:cs="Arial"/>
        </w:rPr>
      </w:pPr>
    </w:p>
    <w:p w14:paraId="4C2CA58A" w14:textId="77777777" w:rsidR="00D10794" w:rsidRDefault="00D10794" w:rsidP="00D10794">
      <w:pPr>
        <w:spacing w:after="0"/>
        <w:rPr>
          <w:rFonts w:cs="Arial"/>
        </w:rPr>
      </w:pPr>
    </w:p>
    <w:p w14:paraId="67D7705A" w14:textId="77777777" w:rsidR="00D10794" w:rsidRDefault="00D10794" w:rsidP="00D10794">
      <w:pPr>
        <w:spacing w:after="0"/>
        <w:rPr>
          <w:rFonts w:cs="Arial"/>
        </w:rPr>
      </w:pPr>
    </w:p>
    <w:p w14:paraId="4EFE2900" w14:textId="77777777" w:rsidR="00D10794" w:rsidRDefault="00D10794" w:rsidP="00D10794">
      <w:pPr>
        <w:spacing w:after="0"/>
        <w:rPr>
          <w:rFonts w:cs="Arial"/>
        </w:rPr>
      </w:pPr>
    </w:p>
    <w:p w14:paraId="0777CBF5" w14:textId="77777777" w:rsidR="00D10794" w:rsidRDefault="00D10794" w:rsidP="00D10794">
      <w:pPr>
        <w:spacing w:after="0"/>
        <w:rPr>
          <w:rFonts w:cs="Arial"/>
        </w:rPr>
      </w:pPr>
    </w:p>
    <w:p w14:paraId="19D81926" w14:textId="77777777" w:rsidR="00D10794" w:rsidRDefault="00D10794" w:rsidP="00D10794">
      <w:pPr>
        <w:spacing w:after="0"/>
        <w:rPr>
          <w:rFonts w:cs="Arial"/>
        </w:rPr>
      </w:pPr>
    </w:p>
    <w:p w14:paraId="1249818D" w14:textId="77777777" w:rsidR="00D10794" w:rsidRDefault="00D10794" w:rsidP="00D10794">
      <w:pPr>
        <w:spacing w:after="0"/>
        <w:rPr>
          <w:rFonts w:cs="Arial"/>
        </w:rPr>
      </w:pPr>
    </w:p>
    <w:p w14:paraId="28FBC149" w14:textId="77777777" w:rsidR="00D10794" w:rsidRDefault="00D10794" w:rsidP="00D10794">
      <w:pPr>
        <w:spacing w:after="0"/>
        <w:rPr>
          <w:rFonts w:cs="Arial"/>
        </w:rPr>
      </w:pPr>
      <w:r>
        <w:rPr>
          <w:rFonts w:cs="Arial"/>
        </w:rPr>
        <w:lastRenderedPageBreak/>
        <w:t>A comparison showing the number of schools in deficit across recent years is provided below:</w:t>
      </w:r>
    </w:p>
    <w:p w14:paraId="5D32D6CC" w14:textId="77777777" w:rsidR="00D10794" w:rsidRDefault="00D10794" w:rsidP="00D10794">
      <w:pPr>
        <w:spacing w:after="0"/>
        <w:rPr>
          <w:rFonts w:cs="Arial"/>
        </w:rPr>
      </w:pPr>
    </w:p>
    <w:tbl>
      <w:tblPr>
        <w:tblStyle w:val="TableGrid"/>
        <w:tblW w:w="0" w:type="auto"/>
        <w:tblLook w:val="04A0" w:firstRow="1" w:lastRow="0" w:firstColumn="1" w:lastColumn="0" w:noHBand="0" w:noVBand="1"/>
      </w:tblPr>
      <w:tblGrid>
        <w:gridCol w:w="4487"/>
        <w:gridCol w:w="4488"/>
      </w:tblGrid>
      <w:tr w:rsidR="002F12B1" w14:paraId="14DE6397" w14:textId="77777777" w:rsidTr="00D10794">
        <w:tc>
          <w:tcPr>
            <w:tcW w:w="4508" w:type="dxa"/>
          </w:tcPr>
          <w:p w14:paraId="026742AE" w14:textId="77777777" w:rsidR="00D10794" w:rsidRPr="0019341E" w:rsidRDefault="00D10794" w:rsidP="00D10794">
            <w:pPr>
              <w:spacing w:after="0"/>
              <w:jc w:val="center"/>
              <w:rPr>
                <w:rFonts w:cs="Arial"/>
                <w:b/>
                <w:bCs/>
              </w:rPr>
            </w:pPr>
            <w:r w:rsidRPr="0019341E">
              <w:rPr>
                <w:rFonts w:cs="Arial"/>
                <w:b/>
                <w:bCs/>
              </w:rPr>
              <w:t xml:space="preserve">Year End </w:t>
            </w:r>
          </w:p>
        </w:tc>
        <w:tc>
          <w:tcPr>
            <w:tcW w:w="4508" w:type="dxa"/>
          </w:tcPr>
          <w:p w14:paraId="4E75B645" w14:textId="77777777" w:rsidR="00D10794" w:rsidRPr="0019341E" w:rsidRDefault="00D10794" w:rsidP="00D10794">
            <w:pPr>
              <w:spacing w:after="0"/>
              <w:jc w:val="center"/>
              <w:rPr>
                <w:rFonts w:cs="Arial"/>
                <w:b/>
                <w:bCs/>
              </w:rPr>
            </w:pPr>
            <w:r w:rsidRPr="0019341E">
              <w:rPr>
                <w:rFonts w:cs="Arial"/>
                <w:b/>
                <w:bCs/>
              </w:rPr>
              <w:t>Number of schools in deficit</w:t>
            </w:r>
          </w:p>
        </w:tc>
      </w:tr>
      <w:tr w:rsidR="002F12B1" w14:paraId="22197A88" w14:textId="77777777" w:rsidTr="00D10794">
        <w:tc>
          <w:tcPr>
            <w:tcW w:w="4508" w:type="dxa"/>
          </w:tcPr>
          <w:p w14:paraId="329F5F43" w14:textId="77777777" w:rsidR="00D10794" w:rsidRPr="005D3938" w:rsidRDefault="00D10794" w:rsidP="00D10794">
            <w:pPr>
              <w:spacing w:after="0"/>
              <w:rPr>
                <w:rFonts w:cs="Arial"/>
              </w:rPr>
            </w:pPr>
            <w:r w:rsidRPr="005D3938">
              <w:rPr>
                <w:rFonts w:cs="Arial"/>
              </w:rPr>
              <w:t>31 March 20</w:t>
            </w:r>
            <w:r>
              <w:rPr>
                <w:rFonts w:cs="Arial"/>
              </w:rPr>
              <w:t>21</w:t>
            </w:r>
          </w:p>
        </w:tc>
        <w:tc>
          <w:tcPr>
            <w:tcW w:w="4508" w:type="dxa"/>
          </w:tcPr>
          <w:p w14:paraId="27166B27" w14:textId="77777777" w:rsidR="00D10794" w:rsidRDefault="00D10794" w:rsidP="00D10794">
            <w:pPr>
              <w:spacing w:after="0"/>
              <w:jc w:val="center"/>
              <w:rPr>
                <w:rFonts w:cs="Arial"/>
              </w:rPr>
            </w:pPr>
            <w:r>
              <w:rPr>
                <w:rFonts w:cs="Arial"/>
              </w:rPr>
              <w:t>30</w:t>
            </w:r>
          </w:p>
        </w:tc>
      </w:tr>
      <w:tr w:rsidR="002F12B1" w14:paraId="392EA3CF" w14:textId="77777777" w:rsidTr="00D10794">
        <w:tc>
          <w:tcPr>
            <w:tcW w:w="4508" w:type="dxa"/>
          </w:tcPr>
          <w:p w14:paraId="467E7232" w14:textId="77777777" w:rsidR="00D10794" w:rsidRPr="005D3938" w:rsidRDefault="00D10794" w:rsidP="00D10794">
            <w:pPr>
              <w:spacing w:after="0"/>
              <w:rPr>
                <w:rFonts w:cs="Arial"/>
              </w:rPr>
            </w:pPr>
            <w:r w:rsidRPr="005D3938">
              <w:rPr>
                <w:rFonts w:cs="Arial"/>
              </w:rPr>
              <w:t>31 March 20</w:t>
            </w:r>
            <w:r>
              <w:rPr>
                <w:rFonts w:cs="Arial"/>
              </w:rPr>
              <w:t>20</w:t>
            </w:r>
          </w:p>
        </w:tc>
        <w:tc>
          <w:tcPr>
            <w:tcW w:w="4508" w:type="dxa"/>
          </w:tcPr>
          <w:p w14:paraId="7BEFCA3E" w14:textId="77777777" w:rsidR="00D10794" w:rsidRPr="005D3938" w:rsidRDefault="00D10794" w:rsidP="00D10794">
            <w:pPr>
              <w:spacing w:after="0"/>
              <w:jc w:val="center"/>
              <w:rPr>
                <w:rFonts w:cs="Arial"/>
              </w:rPr>
            </w:pPr>
            <w:r>
              <w:rPr>
                <w:rFonts w:cs="Arial"/>
              </w:rPr>
              <w:t>41</w:t>
            </w:r>
          </w:p>
        </w:tc>
      </w:tr>
      <w:tr w:rsidR="002F12B1" w14:paraId="77DCA31A" w14:textId="77777777" w:rsidTr="00D10794">
        <w:tc>
          <w:tcPr>
            <w:tcW w:w="4508" w:type="dxa"/>
          </w:tcPr>
          <w:p w14:paraId="4D4F1CA2" w14:textId="77777777" w:rsidR="00D10794" w:rsidRPr="005D3938" w:rsidRDefault="00D10794" w:rsidP="00D10794">
            <w:pPr>
              <w:spacing w:after="0"/>
              <w:rPr>
                <w:rFonts w:cs="Arial"/>
              </w:rPr>
            </w:pPr>
            <w:r w:rsidRPr="005D3938">
              <w:rPr>
                <w:rFonts w:cs="Arial"/>
              </w:rPr>
              <w:t>31 March 2019</w:t>
            </w:r>
          </w:p>
        </w:tc>
        <w:tc>
          <w:tcPr>
            <w:tcW w:w="4508" w:type="dxa"/>
          </w:tcPr>
          <w:p w14:paraId="6F0A43EC" w14:textId="77777777" w:rsidR="00D10794" w:rsidRPr="005D3938" w:rsidRDefault="00D10794" w:rsidP="00D10794">
            <w:pPr>
              <w:spacing w:after="0"/>
              <w:jc w:val="center"/>
              <w:rPr>
                <w:rFonts w:cs="Arial"/>
              </w:rPr>
            </w:pPr>
            <w:r w:rsidRPr="005D3938">
              <w:rPr>
                <w:rFonts w:cs="Arial"/>
              </w:rPr>
              <w:t>39</w:t>
            </w:r>
          </w:p>
        </w:tc>
      </w:tr>
      <w:tr w:rsidR="002F12B1" w14:paraId="59FEFDCA" w14:textId="77777777" w:rsidTr="00D10794">
        <w:tc>
          <w:tcPr>
            <w:tcW w:w="4508" w:type="dxa"/>
          </w:tcPr>
          <w:p w14:paraId="666A0BB6" w14:textId="77777777" w:rsidR="00D10794" w:rsidRPr="005D3938" w:rsidRDefault="00D10794" w:rsidP="00D10794">
            <w:pPr>
              <w:spacing w:after="0"/>
              <w:rPr>
                <w:rFonts w:cs="Arial"/>
              </w:rPr>
            </w:pPr>
            <w:r w:rsidRPr="005D3938">
              <w:rPr>
                <w:rFonts w:cs="Arial"/>
              </w:rPr>
              <w:t>31 March 2018</w:t>
            </w:r>
          </w:p>
        </w:tc>
        <w:tc>
          <w:tcPr>
            <w:tcW w:w="4508" w:type="dxa"/>
          </w:tcPr>
          <w:p w14:paraId="0D503B48" w14:textId="77777777" w:rsidR="00D10794" w:rsidRPr="005D3938" w:rsidRDefault="00D10794" w:rsidP="00D10794">
            <w:pPr>
              <w:spacing w:after="0"/>
              <w:jc w:val="center"/>
              <w:rPr>
                <w:rFonts w:cs="Arial"/>
              </w:rPr>
            </w:pPr>
            <w:r w:rsidRPr="005D3938">
              <w:rPr>
                <w:rFonts w:cs="Arial"/>
              </w:rPr>
              <w:t>47</w:t>
            </w:r>
          </w:p>
        </w:tc>
      </w:tr>
      <w:tr w:rsidR="002F12B1" w14:paraId="55D02932" w14:textId="77777777" w:rsidTr="00D10794">
        <w:tc>
          <w:tcPr>
            <w:tcW w:w="4508" w:type="dxa"/>
          </w:tcPr>
          <w:p w14:paraId="265B16E9" w14:textId="77777777" w:rsidR="00D10794" w:rsidRPr="005D3938" w:rsidRDefault="00D10794" w:rsidP="00D10794">
            <w:pPr>
              <w:spacing w:after="0"/>
              <w:rPr>
                <w:rFonts w:cs="Arial"/>
              </w:rPr>
            </w:pPr>
            <w:r w:rsidRPr="005D3938">
              <w:rPr>
                <w:rFonts w:cs="Arial"/>
              </w:rPr>
              <w:t>31 March 2017</w:t>
            </w:r>
          </w:p>
        </w:tc>
        <w:tc>
          <w:tcPr>
            <w:tcW w:w="4508" w:type="dxa"/>
          </w:tcPr>
          <w:p w14:paraId="0F8AAB09" w14:textId="77777777" w:rsidR="00D10794" w:rsidRPr="005D3938" w:rsidRDefault="00D10794" w:rsidP="00D10794">
            <w:pPr>
              <w:spacing w:after="0"/>
              <w:jc w:val="center"/>
              <w:rPr>
                <w:rFonts w:cs="Arial"/>
              </w:rPr>
            </w:pPr>
            <w:r w:rsidRPr="005D3938">
              <w:rPr>
                <w:rFonts w:cs="Arial"/>
              </w:rPr>
              <w:t>40</w:t>
            </w:r>
          </w:p>
        </w:tc>
      </w:tr>
      <w:tr w:rsidR="002F12B1" w14:paraId="37B5A770" w14:textId="77777777" w:rsidTr="00D10794">
        <w:tc>
          <w:tcPr>
            <w:tcW w:w="4508" w:type="dxa"/>
          </w:tcPr>
          <w:p w14:paraId="2DC95475" w14:textId="77777777" w:rsidR="00D10794" w:rsidRPr="005D3938" w:rsidRDefault="00D10794" w:rsidP="00D10794">
            <w:pPr>
              <w:spacing w:after="0"/>
              <w:rPr>
                <w:rFonts w:cs="Arial"/>
              </w:rPr>
            </w:pPr>
            <w:r w:rsidRPr="005D3938">
              <w:rPr>
                <w:rFonts w:cs="Arial"/>
              </w:rPr>
              <w:t>31 March 2016</w:t>
            </w:r>
          </w:p>
        </w:tc>
        <w:tc>
          <w:tcPr>
            <w:tcW w:w="4508" w:type="dxa"/>
          </w:tcPr>
          <w:p w14:paraId="1FB9D88F" w14:textId="77777777" w:rsidR="00D10794" w:rsidRPr="005D3938" w:rsidRDefault="00D10794" w:rsidP="00D10794">
            <w:pPr>
              <w:spacing w:after="0"/>
              <w:jc w:val="center"/>
              <w:rPr>
                <w:rFonts w:cs="Arial"/>
              </w:rPr>
            </w:pPr>
            <w:r w:rsidRPr="005D3938">
              <w:rPr>
                <w:rFonts w:cs="Arial"/>
              </w:rPr>
              <w:t>25</w:t>
            </w:r>
          </w:p>
        </w:tc>
      </w:tr>
      <w:tr w:rsidR="002F12B1" w14:paraId="462BF8A5" w14:textId="77777777" w:rsidTr="00D10794">
        <w:tc>
          <w:tcPr>
            <w:tcW w:w="4508" w:type="dxa"/>
          </w:tcPr>
          <w:p w14:paraId="4EE54416" w14:textId="77777777" w:rsidR="00D10794" w:rsidRDefault="00D10794" w:rsidP="00D10794">
            <w:pPr>
              <w:spacing w:after="0"/>
              <w:rPr>
                <w:rFonts w:cs="Arial"/>
              </w:rPr>
            </w:pPr>
            <w:r w:rsidRPr="002937BB">
              <w:rPr>
                <w:rFonts w:cs="Arial"/>
              </w:rPr>
              <w:t>31 March 20</w:t>
            </w:r>
            <w:r>
              <w:rPr>
                <w:rFonts w:cs="Arial"/>
              </w:rPr>
              <w:t>15</w:t>
            </w:r>
          </w:p>
        </w:tc>
        <w:tc>
          <w:tcPr>
            <w:tcW w:w="4508" w:type="dxa"/>
          </w:tcPr>
          <w:p w14:paraId="4C71D602" w14:textId="77777777" w:rsidR="00D10794" w:rsidRDefault="00D10794" w:rsidP="00D10794">
            <w:pPr>
              <w:spacing w:after="0"/>
              <w:jc w:val="center"/>
              <w:rPr>
                <w:rFonts w:cs="Arial"/>
              </w:rPr>
            </w:pPr>
            <w:r>
              <w:rPr>
                <w:rFonts w:cs="Arial"/>
              </w:rPr>
              <w:t>18</w:t>
            </w:r>
          </w:p>
        </w:tc>
      </w:tr>
    </w:tbl>
    <w:p w14:paraId="1FEEBDB1" w14:textId="77777777" w:rsidR="00D10794" w:rsidRPr="009900C5" w:rsidRDefault="00D10794" w:rsidP="00D10794">
      <w:pPr>
        <w:spacing w:after="0"/>
        <w:rPr>
          <w:rFonts w:cs="Arial"/>
        </w:rPr>
      </w:pPr>
    </w:p>
    <w:p w14:paraId="24EFEA6C" w14:textId="77777777" w:rsidR="00D10794" w:rsidRDefault="00D10794" w:rsidP="00D10794">
      <w:pPr>
        <w:spacing w:after="0"/>
        <w:rPr>
          <w:rFonts w:cs="Arial"/>
        </w:rPr>
      </w:pPr>
      <w:r>
        <w:rPr>
          <w:rFonts w:cs="Arial"/>
        </w:rPr>
        <w:t xml:space="preserve">The number of schools in deficit at year end is at its lowest level since March 2016.  However, the 2021 figure may be artificially low, as many schools will have increased year end balances as the result of funding that could not be fully spent in 2020/21 due to the pandemic and in particular grant allocations that will need to be utilised in 2021/22 focussed on the </w:t>
      </w:r>
      <w:proofErr w:type="spellStart"/>
      <w:r>
        <w:rPr>
          <w:rFonts w:cs="Arial"/>
        </w:rPr>
        <w:t>covid</w:t>
      </w:r>
      <w:proofErr w:type="spellEnd"/>
      <w:r>
        <w:rPr>
          <w:rFonts w:cs="Arial"/>
        </w:rPr>
        <w:t xml:space="preserve"> educational recovery.</w:t>
      </w:r>
    </w:p>
    <w:p w14:paraId="2300F0C7" w14:textId="77777777" w:rsidR="00D10794" w:rsidRDefault="00D10794" w:rsidP="00D10794">
      <w:pPr>
        <w:spacing w:after="0"/>
        <w:rPr>
          <w:rFonts w:cs="Arial"/>
          <w:b/>
        </w:rPr>
      </w:pPr>
    </w:p>
    <w:p w14:paraId="7621B6F7" w14:textId="77777777" w:rsidR="00D10794" w:rsidRPr="008768DF" w:rsidRDefault="00D10794" w:rsidP="00D10794">
      <w:pPr>
        <w:spacing w:after="0"/>
        <w:rPr>
          <w:rFonts w:cs="Arial"/>
          <w:b/>
        </w:rPr>
      </w:pPr>
      <w:r w:rsidRPr="008768DF">
        <w:rPr>
          <w:rFonts w:cs="Arial"/>
          <w:b/>
        </w:rPr>
        <w:t>Aggregate School Balances by Year</w:t>
      </w:r>
    </w:p>
    <w:p w14:paraId="0675162C" w14:textId="77777777" w:rsidR="00D10794" w:rsidRPr="00296F3A" w:rsidRDefault="00D10794" w:rsidP="00D10794">
      <w:pPr>
        <w:spacing w:after="0"/>
        <w:rPr>
          <w:rFonts w:cs="Arial"/>
          <w:highlight w:val="cyan"/>
        </w:rPr>
      </w:pPr>
    </w:p>
    <w:p w14:paraId="54E053F3" w14:textId="77777777" w:rsidR="00D10794" w:rsidRDefault="00D10794" w:rsidP="00D10794">
      <w:pPr>
        <w:rPr>
          <w:rFonts w:cs="Arial"/>
        </w:rPr>
      </w:pPr>
      <w:r>
        <w:rPr>
          <w:noProof/>
        </w:rPr>
        <w:drawing>
          <wp:inline distT="0" distB="0" distL="0" distR="0" wp14:anchorId="1353D733" wp14:editId="1273898F">
            <wp:extent cx="5791200" cy="2828925"/>
            <wp:effectExtent l="0" t="0" r="0" b="9525"/>
            <wp:docPr id="4" name="Chart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01736F" w14:textId="77777777" w:rsidR="00D10794" w:rsidRPr="000B4311" w:rsidRDefault="00D10794" w:rsidP="00D10794">
      <w:pPr>
        <w:spacing w:after="0"/>
        <w:rPr>
          <w:rFonts w:cs="Arial"/>
        </w:rPr>
      </w:pPr>
    </w:p>
    <w:p w14:paraId="7BB64136" w14:textId="2DC1079C" w:rsidR="00D10794" w:rsidRDefault="00D10794" w:rsidP="00D10794">
      <w:pPr>
        <w:spacing w:after="0"/>
        <w:rPr>
          <w:rFonts w:cs="Arial"/>
        </w:rPr>
      </w:pPr>
      <w:r w:rsidRPr="000B4311">
        <w:rPr>
          <w:rFonts w:cs="Arial"/>
        </w:rPr>
        <w:t xml:space="preserve">The graph demonstrates the trend in aggregate school balances over recent </w:t>
      </w:r>
      <w:r>
        <w:rPr>
          <w:rFonts w:cs="Arial"/>
        </w:rPr>
        <w:t xml:space="preserve">years and shows the significant rise in the balances held by schools at March 2021, to their highest level ever, having previously peaked in 2014/15.  As mentioned earlier, there </w:t>
      </w:r>
      <w:r w:rsidR="00911248">
        <w:rPr>
          <w:rFonts w:cs="Arial"/>
        </w:rPr>
        <w:t>are</w:t>
      </w:r>
      <w:r>
        <w:rPr>
          <w:rFonts w:cs="Arial"/>
        </w:rPr>
        <w:t xml:space="preserve"> </w:t>
      </w:r>
      <w:proofErr w:type="spellStart"/>
      <w:r>
        <w:rPr>
          <w:rFonts w:cs="Arial"/>
        </w:rPr>
        <w:t>covid</w:t>
      </w:r>
      <w:proofErr w:type="spellEnd"/>
      <w:r>
        <w:rPr>
          <w:rFonts w:cs="Arial"/>
        </w:rPr>
        <w:t xml:space="preserve"> related reasons for this shift in the year end position.</w:t>
      </w:r>
    </w:p>
    <w:p w14:paraId="19F0B74B" w14:textId="77777777" w:rsidR="00D10794" w:rsidRDefault="00D10794" w:rsidP="00D10794">
      <w:pPr>
        <w:spacing w:after="0"/>
        <w:rPr>
          <w:rFonts w:cs="Arial"/>
        </w:rPr>
      </w:pPr>
    </w:p>
    <w:p w14:paraId="42B489B1" w14:textId="77777777" w:rsidR="00D10794" w:rsidRPr="008768DF" w:rsidRDefault="00D10794" w:rsidP="00D10794">
      <w:pPr>
        <w:spacing w:after="0"/>
        <w:rPr>
          <w:rFonts w:cs="Arial"/>
        </w:rPr>
      </w:pPr>
      <w:r w:rsidRPr="008768DF">
        <w:rPr>
          <w:rFonts w:cs="Arial"/>
        </w:rPr>
        <w:t xml:space="preserve">To provide context for the total school balances, the current authority guideline for schools is to have reserves equating to 12% of their total Combined Financial Reporting (CFR) income or a minimum of £60,000. This is to ensure that individual schools can withstand potential financial risks and financial stresses.  If all Lancashire schools held the guideline balance, the total balance would have been circa </w:t>
      </w:r>
      <w:r w:rsidRPr="00D75D91">
        <w:rPr>
          <w:rFonts w:cs="Arial"/>
        </w:rPr>
        <w:t>£100m</w:t>
      </w:r>
      <w:r w:rsidRPr="008768DF">
        <w:rPr>
          <w:rFonts w:cs="Arial"/>
        </w:rPr>
        <w:t>, compared to the actual balances held of circa £</w:t>
      </w:r>
      <w:r>
        <w:rPr>
          <w:rFonts w:cs="Arial"/>
        </w:rPr>
        <w:t>90</w:t>
      </w:r>
      <w:r w:rsidRPr="008768DF">
        <w:rPr>
          <w:rFonts w:cs="Arial"/>
        </w:rPr>
        <w:t xml:space="preserve">m.  </w:t>
      </w:r>
    </w:p>
    <w:p w14:paraId="23133627" w14:textId="77777777" w:rsidR="00D10794" w:rsidRDefault="00D10794" w:rsidP="00D10794">
      <w:pPr>
        <w:spacing w:after="0"/>
        <w:rPr>
          <w:rFonts w:eastAsiaTheme="minorHAnsi" w:cs="Arial"/>
          <w:highlight w:val="cyan"/>
        </w:rPr>
      </w:pPr>
    </w:p>
    <w:p w14:paraId="33112A65" w14:textId="77777777" w:rsidR="00D10794" w:rsidRPr="000B4311" w:rsidRDefault="00D10794" w:rsidP="00D10794">
      <w:pPr>
        <w:spacing w:after="0"/>
        <w:rPr>
          <w:rFonts w:cs="Arial"/>
          <w:b/>
        </w:rPr>
      </w:pPr>
      <w:r>
        <w:rPr>
          <w:rFonts w:cs="Arial"/>
          <w:b/>
        </w:rPr>
        <w:t>Support for Schools in Deficit</w:t>
      </w:r>
    </w:p>
    <w:p w14:paraId="34942F52" w14:textId="77777777" w:rsidR="00D10794" w:rsidRDefault="00D10794" w:rsidP="00D10794">
      <w:pPr>
        <w:spacing w:after="0"/>
        <w:rPr>
          <w:rFonts w:cs="Arial"/>
        </w:rPr>
      </w:pPr>
      <w:r>
        <w:rPr>
          <w:rFonts w:cs="Arial"/>
        </w:rPr>
        <w:t>Despite the changing requirements brought about by Covid-19, the</w:t>
      </w:r>
      <w:r w:rsidRPr="00170667">
        <w:rPr>
          <w:rFonts w:cs="Arial"/>
        </w:rPr>
        <w:t xml:space="preserve"> </w:t>
      </w:r>
      <w:r>
        <w:rPr>
          <w:rFonts w:cs="Arial"/>
        </w:rPr>
        <w:t>c</w:t>
      </w:r>
      <w:r w:rsidRPr="00170667">
        <w:rPr>
          <w:rFonts w:cs="Arial"/>
        </w:rPr>
        <w:t xml:space="preserve">ounty </w:t>
      </w:r>
      <w:r>
        <w:rPr>
          <w:rFonts w:cs="Arial"/>
        </w:rPr>
        <w:t>c</w:t>
      </w:r>
      <w:r w:rsidRPr="00170667">
        <w:rPr>
          <w:rFonts w:cs="Arial"/>
        </w:rPr>
        <w:t xml:space="preserve">ouncil </w:t>
      </w:r>
      <w:r>
        <w:rPr>
          <w:rFonts w:cs="Arial"/>
        </w:rPr>
        <w:t>has continued to provide</w:t>
      </w:r>
      <w:r w:rsidRPr="00170667">
        <w:rPr>
          <w:rFonts w:cs="Arial"/>
        </w:rPr>
        <w:t xml:space="preserve"> significant targeted support and enhanced monitoring and early </w:t>
      </w:r>
      <w:r w:rsidRPr="00170667">
        <w:rPr>
          <w:rFonts w:cs="Arial"/>
        </w:rPr>
        <w:lastRenderedPageBreak/>
        <w:t xml:space="preserve">warning around </w:t>
      </w:r>
      <w:r>
        <w:rPr>
          <w:rFonts w:cs="Arial"/>
        </w:rPr>
        <w:t xml:space="preserve">Schools in Financial Difficulty, with differing delivery methods being utilised during the pandemic.  </w:t>
      </w:r>
    </w:p>
    <w:p w14:paraId="33E83355" w14:textId="77777777" w:rsidR="00D10794" w:rsidRPr="008940E6" w:rsidRDefault="00D10794" w:rsidP="00D10794">
      <w:pPr>
        <w:spacing w:after="0"/>
        <w:rPr>
          <w:rFonts w:cs="Arial"/>
        </w:rPr>
      </w:pPr>
    </w:p>
    <w:p w14:paraId="6E0615D9" w14:textId="77777777" w:rsidR="00D10794" w:rsidRPr="008940E6" w:rsidRDefault="00D10794" w:rsidP="00D10794">
      <w:pPr>
        <w:spacing w:after="0"/>
        <w:rPr>
          <w:rFonts w:cs="Arial"/>
          <w:b/>
        </w:rPr>
      </w:pPr>
      <w:r w:rsidRPr="008940E6">
        <w:rPr>
          <w:rFonts w:cs="Arial"/>
          <w:b/>
        </w:rPr>
        <w:t>Schools Reserves**</w:t>
      </w:r>
    </w:p>
    <w:p w14:paraId="7A811B17" w14:textId="77777777" w:rsidR="00D10794" w:rsidRPr="008940E6" w:rsidRDefault="00D10794" w:rsidP="00D10794">
      <w:pPr>
        <w:spacing w:after="0"/>
        <w:rPr>
          <w:rFonts w:cs="Arial"/>
          <w:b/>
        </w:rPr>
      </w:pPr>
    </w:p>
    <w:tbl>
      <w:tblPr>
        <w:tblW w:w="8926" w:type="dxa"/>
        <w:tblLayout w:type="fixed"/>
        <w:tblLook w:val="04A0" w:firstRow="1" w:lastRow="0" w:firstColumn="1" w:lastColumn="0" w:noHBand="0" w:noVBand="1"/>
      </w:tblPr>
      <w:tblGrid>
        <w:gridCol w:w="2231"/>
        <w:gridCol w:w="2232"/>
        <w:gridCol w:w="2231"/>
        <w:gridCol w:w="2232"/>
      </w:tblGrid>
      <w:tr w:rsidR="002F12B1" w14:paraId="1D3872B9" w14:textId="77777777" w:rsidTr="00D10794">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4BE6" w14:textId="77777777" w:rsidR="00D10794" w:rsidRPr="008940E6" w:rsidRDefault="00D10794" w:rsidP="00D10794">
            <w:pPr>
              <w:spacing w:after="0"/>
              <w:rPr>
                <w:rFonts w:cs="Arial"/>
                <w:b/>
                <w:bCs/>
              </w:rPr>
            </w:pPr>
            <w:r w:rsidRPr="008940E6">
              <w:rPr>
                <w:rFonts w:cs="Arial"/>
                <w:b/>
                <w:bCs/>
              </w:rPr>
              <w:t>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07E18ADA" w14:textId="77777777" w:rsidR="00D10794" w:rsidRPr="008940E6" w:rsidRDefault="00D10794" w:rsidP="00D10794">
            <w:pPr>
              <w:spacing w:after="0"/>
              <w:rPr>
                <w:rFonts w:cs="Arial"/>
                <w:b/>
                <w:bCs/>
              </w:rPr>
            </w:pPr>
            <w:r w:rsidRPr="008940E6">
              <w:rPr>
                <w:rFonts w:cs="Arial"/>
                <w:b/>
                <w:bCs/>
              </w:rPr>
              <w:t>Opening Balance</w:t>
            </w:r>
          </w:p>
          <w:p w14:paraId="72988DEE" w14:textId="77777777" w:rsidR="00D10794" w:rsidRPr="008940E6" w:rsidRDefault="00D10794" w:rsidP="00D10794">
            <w:pPr>
              <w:spacing w:after="0"/>
              <w:rPr>
                <w:rFonts w:cs="Arial"/>
                <w:b/>
                <w:bCs/>
              </w:rPr>
            </w:pPr>
            <w:r w:rsidRPr="008940E6">
              <w:rPr>
                <w:rFonts w:cs="Arial"/>
                <w:b/>
                <w:bCs/>
              </w:rPr>
              <w:t xml:space="preserve">as at 1 April </w:t>
            </w:r>
            <w:r>
              <w:rPr>
                <w:rFonts w:cs="Arial"/>
                <w:b/>
                <w:bCs/>
              </w:rPr>
              <w:t>20</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6189E144" w14:textId="77777777" w:rsidR="00D10794" w:rsidRPr="008940E6" w:rsidRDefault="00D10794" w:rsidP="00D10794">
            <w:pPr>
              <w:spacing w:after="0"/>
              <w:rPr>
                <w:rFonts w:cs="Arial"/>
                <w:b/>
                <w:bCs/>
              </w:rPr>
            </w:pPr>
            <w:r w:rsidRPr="008940E6">
              <w:rPr>
                <w:rFonts w:cs="Arial"/>
                <w:b/>
                <w:bCs/>
              </w:rPr>
              <w:t>In Year Changes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0193C6A6" w14:textId="77777777" w:rsidR="00D10794" w:rsidRPr="008940E6" w:rsidRDefault="00D10794" w:rsidP="00D10794">
            <w:pPr>
              <w:spacing w:after="0"/>
              <w:rPr>
                <w:rFonts w:cs="Arial"/>
                <w:b/>
                <w:bCs/>
              </w:rPr>
            </w:pPr>
            <w:r w:rsidRPr="008940E6">
              <w:rPr>
                <w:rFonts w:cs="Arial"/>
                <w:b/>
                <w:bCs/>
              </w:rPr>
              <w:t>Closing Balance as at 31 March 2</w:t>
            </w:r>
            <w:r>
              <w:rPr>
                <w:rFonts w:cs="Arial"/>
                <w:b/>
                <w:bCs/>
              </w:rPr>
              <w:t>1</w:t>
            </w:r>
          </w:p>
        </w:tc>
      </w:tr>
      <w:tr w:rsidR="002F12B1" w14:paraId="49E28A0E" w14:textId="77777777" w:rsidTr="00D10794">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5E154" w14:textId="77777777" w:rsidR="00D10794" w:rsidRPr="008940E6" w:rsidRDefault="00D10794" w:rsidP="00D10794">
            <w:pPr>
              <w:spacing w:after="0"/>
              <w:rPr>
                <w:rFonts w:cs="Arial"/>
              </w:rPr>
            </w:pPr>
          </w:p>
        </w:tc>
        <w:tc>
          <w:tcPr>
            <w:tcW w:w="2232" w:type="dxa"/>
            <w:tcBorders>
              <w:top w:val="single" w:sz="4" w:space="0" w:color="auto"/>
              <w:left w:val="nil"/>
              <w:bottom w:val="single" w:sz="4" w:space="0" w:color="auto"/>
              <w:right w:val="single" w:sz="4" w:space="0" w:color="auto"/>
            </w:tcBorders>
            <w:shd w:val="clear" w:color="auto" w:fill="auto"/>
            <w:vAlign w:val="center"/>
          </w:tcPr>
          <w:p w14:paraId="25F20263" w14:textId="77777777" w:rsidR="00D10794" w:rsidRPr="008940E6" w:rsidRDefault="00D10794" w:rsidP="00D10794">
            <w:pPr>
              <w:spacing w:after="0"/>
              <w:jc w:val="center"/>
              <w:rPr>
                <w:rFonts w:cs="Arial"/>
              </w:rPr>
            </w:pPr>
            <w:r w:rsidRPr="008940E6">
              <w:rPr>
                <w:rFonts w:cs="Arial"/>
                <w:b/>
                <w:bCs/>
              </w:rPr>
              <w:t>£m</w:t>
            </w:r>
          </w:p>
        </w:tc>
        <w:tc>
          <w:tcPr>
            <w:tcW w:w="2231" w:type="dxa"/>
            <w:tcBorders>
              <w:top w:val="single" w:sz="4" w:space="0" w:color="auto"/>
              <w:left w:val="nil"/>
              <w:bottom w:val="single" w:sz="4" w:space="0" w:color="auto"/>
              <w:right w:val="single" w:sz="4" w:space="0" w:color="auto"/>
            </w:tcBorders>
            <w:shd w:val="clear" w:color="auto" w:fill="auto"/>
            <w:vAlign w:val="center"/>
          </w:tcPr>
          <w:p w14:paraId="505247E6" w14:textId="77777777" w:rsidR="00D10794" w:rsidRPr="008940E6" w:rsidRDefault="00D10794" w:rsidP="00D10794">
            <w:pPr>
              <w:spacing w:after="0"/>
              <w:jc w:val="center"/>
              <w:rPr>
                <w:rFonts w:cs="Arial"/>
              </w:rPr>
            </w:pPr>
            <w:r w:rsidRPr="008940E6">
              <w:rPr>
                <w:rFonts w:cs="Arial"/>
                <w:b/>
                <w:bCs/>
              </w:rPr>
              <w:t>£m</w:t>
            </w:r>
          </w:p>
        </w:tc>
        <w:tc>
          <w:tcPr>
            <w:tcW w:w="2232" w:type="dxa"/>
            <w:tcBorders>
              <w:top w:val="single" w:sz="4" w:space="0" w:color="auto"/>
              <w:left w:val="nil"/>
              <w:bottom w:val="single" w:sz="4" w:space="0" w:color="auto"/>
              <w:right w:val="single" w:sz="4" w:space="0" w:color="auto"/>
            </w:tcBorders>
            <w:shd w:val="clear" w:color="auto" w:fill="auto"/>
            <w:vAlign w:val="center"/>
          </w:tcPr>
          <w:p w14:paraId="7F9D2006" w14:textId="77777777" w:rsidR="00D10794" w:rsidRPr="008940E6" w:rsidRDefault="00D10794" w:rsidP="00D10794">
            <w:pPr>
              <w:spacing w:after="0"/>
              <w:jc w:val="center"/>
              <w:rPr>
                <w:rFonts w:cs="Arial"/>
              </w:rPr>
            </w:pPr>
            <w:r w:rsidRPr="008940E6">
              <w:rPr>
                <w:rFonts w:cs="Arial"/>
                <w:b/>
                <w:bCs/>
              </w:rPr>
              <w:t>£m</w:t>
            </w:r>
          </w:p>
        </w:tc>
      </w:tr>
      <w:tr w:rsidR="002F12B1" w14:paraId="32F12426" w14:textId="77777777" w:rsidTr="00D10794">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708F1" w14:textId="77777777" w:rsidR="00D10794" w:rsidRPr="008940E6" w:rsidRDefault="00D10794" w:rsidP="00D10794">
            <w:pPr>
              <w:spacing w:after="0"/>
              <w:rPr>
                <w:rFonts w:cs="Arial"/>
                <w:bCs/>
              </w:rPr>
            </w:pPr>
            <w:r w:rsidRPr="008940E6">
              <w:rPr>
                <w:rFonts w:cs="Arial"/>
                <w:bCs/>
              </w:rPr>
              <w:t>Individual Schools Reserves</w:t>
            </w:r>
          </w:p>
        </w:tc>
        <w:tc>
          <w:tcPr>
            <w:tcW w:w="2232" w:type="dxa"/>
            <w:tcBorders>
              <w:top w:val="nil"/>
              <w:left w:val="nil"/>
              <w:bottom w:val="single" w:sz="4" w:space="0" w:color="auto"/>
              <w:right w:val="single" w:sz="4" w:space="0" w:color="auto"/>
            </w:tcBorders>
            <w:shd w:val="clear" w:color="auto" w:fill="auto"/>
            <w:vAlign w:val="center"/>
            <w:hideMark/>
          </w:tcPr>
          <w:p w14:paraId="5E7EAE76" w14:textId="77777777" w:rsidR="00D10794" w:rsidRPr="00D47D73" w:rsidRDefault="00D10794" w:rsidP="00D10794">
            <w:pPr>
              <w:spacing w:after="0"/>
              <w:jc w:val="right"/>
              <w:rPr>
                <w:rFonts w:cs="Arial"/>
                <w:bCs/>
              </w:rPr>
            </w:pPr>
            <w:r w:rsidRPr="00D47D73">
              <w:rPr>
                <w:rFonts w:cs="Arial"/>
                <w:bCs/>
                <w:szCs w:val="22"/>
              </w:rPr>
              <w:t>47.319</w:t>
            </w:r>
          </w:p>
        </w:tc>
        <w:tc>
          <w:tcPr>
            <w:tcW w:w="2231" w:type="dxa"/>
            <w:tcBorders>
              <w:top w:val="nil"/>
              <w:left w:val="nil"/>
              <w:bottom w:val="single" w:sz="4" w:space="0" w:color="auto"/>
              <w:right w:val="single" w:sz="4" w:space="0" w:color="auto"/>
            </w:tcBorders>
            <w:shd w:val="clear" w:color="auto" w:fill="auto"/>
            <w:vAlign w:val="center"/>
            <w:hideMark/>
          </w:tcPr>
          <w:p w14:paraId="3CF7C573" w14:textId="77777777" w:rsidR="00D10794" w:rsidRPr="00D47D73" w:rsidRDefault="00D10794" w:rsidP="00D10794">
            <w:pPr>
              <w:spacing w:after="0"/>
              <w:jc w:val="right"/>
              <w:rPr>
                <w:rFonts w:cs="Arial"/>
                <w:bCs/>
              </w:rPr>
            </w:pPr>
            <w:r w:rsidRPr="00D47D73">
              <w:rPr>
                <w:rFonts w:cs="Arial"/>
                <w:bCs/>
                <w:szCs w:val="22"/>
              </w:rPr>
              <w:t>42.8</w:t>
            </w:r>
            <w:r>
              <w:rPr>
                <w:rFonts w:cs="Arial"/>
                <w:bCs/>
                <w:szCs w:val="22"/>
              </w:rPr>
              <w:t>32</w:t>
            </w:r>
          </w:p>
        </w:tc>
        <w:tc>
          <w:tcPr>
            <w:tcW w:w="2232" w:type="dxa"/>
            <w:tcBorders>
              <w:top w:val="nil"/>
              <w:left w:val="nil"/>
              <w:bottom w:val="single" w:sz="4" w:space="0" w:color="auto"/>
              <w:right w:val="single" w:sz="4" w:space="0" w:color="auto"/>
            </w:tcBorders>
            <w:shd w:val="clear" w:color="auto" w:fill="auto"/>
            <w:vAlign w:val="center"/>
            <w:hideMark/>
          </w:tcPr>
          <w:p w14:paraId="085EABCA" w14:textId="77777777" w:rsidR="00D10794" w:rsidRPr="00D47D73" w:rsidRDefault="00D10794" w:rsidP="00D10794">
            <w:pPr>
              <w:spacing w:after="0"/>
              <w:jc w:val="right"/>
              <w:rPr>
                <w:rFonts w:cs="Arial"/>
                <w:bCs/>
              </w:rPr>
            </w:pPr>
            <w:r>
              <w:rPr>
                <w:rFonts w:cs="Arial"/>
                <w:bCs/>
                <w:szCs w:val="22"/>
              </w:rPr>
              <w:t>90.151</w:t>
            </w:r>
          </w:p>
        </w:tc>
      </w:tr>
      <w:tr w:rsidR="002F12B1" w14:paraId="091F7856" w14:textId="77777777" w:rsidTr="00D10794">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8F62" w14:textId="77777777" w:rsidR="00D10794" w:rsidRPr="008940E6" w:rsidRDefault="00D10794" w:rsidP="00D10794">
            <w:pPr>
              <w:spacing w:after="0"/>
              <w:rPr>
                <w:rFonts w:cs="Arial"/>
                <w:bCs/>
              </w:rPr>
            </w:pPr>
            <w:r w:rsidRPr="008940E6">
              <w:rPr>
                <w:rFonts w:cs="Arial"/>
                <w:bCs/>
              </w:rPr>
              <w:t>Other 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11FD8AAE" w14:textId="77777777" w:rsidR="00D10794" w:rsidRPr="00D47D73" w:rsidRDefault="00D10794" w:rsidP="00D10794">
            <w:pPr>
              <w:spacing w:after="0"/>
              <w:jc w:val="right"/>
              <w:rPr>
                <w:rFonts w:cs="Arial"/>
                <w:bCs/>
              </w:rPr>
            </w:pPr>
            <w:r w:rsidRPr="00D47D73">
              <w:rPr>
                <w:rFonts w:cs="Arial"/>
                <w:bCs/>
              </w:rPr>
              <w:t>12.947</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46BDF427" w14:textId="77777777" w:rsidR="00D10794" w:rsidRPr="00D47D73" w:rsidRDefault="00D10794" w:rsidP="00D10794">
            <w:pPr>
              <w:spacing w:after="0"/>
              <w:jc w:val="right"/>
              <w:rPr>
                <w:rFonts w:cs="Arial"/>
                <w:bCs/>
              </w:rPr>
            </w:pPr>
            <w:r w:rsidRPr="00D47D73">
              <w:rPr>
                <w:rFonts w:cs="Arial"/>
                <w:bCs/>
              </w:rPr>
              <w:t>7.82</w:t>
            </w:r>
            <w:r>
              <w:rPr>
                <w:rFonts w:cs="Arial"/>
                <w:bCs/>
              </w:rPr>
              <w:t>0</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004C45D4" w14:textId="77777777" w:rsidR="00D10794" w:rsidRPr="00D47D73" w:rsidRDefault="00D10794" w:rsidP="00D10794">
            <w:pPr>
              <w:spacing w:after="0"/>
              <w:jc w:val="right"/>
              <w:rPr>
                <w:rFonts w:cs="Arial"/>
                <w:bCs/>
              </w:rPr>
            </w:pPr>
            <w:r w:rsidRPr="00D47D73">
              <w:rPr>
                <w:rFonts w:cs="Arial"/>
                <w:bCs/>
              </w:rPr>
              <w:t>20.767</w:t>
            </w:r>
          </w:p>
        </w:tc>
      </w:tr>
    </w:tbl>
    <w:p w14:paraId="17583611" w14:textId="77777777" w:rsidR="00D10794" w:rsidRPr="008940E6" w:rsidRDefault="00D10794" w:rsidP="00D10794">
      <w:pPr>
        <w:spacing w:after="0"/>
        <w:rPr>
          <w:rFonts w:cs="Arial"/>
        </w:rPr>
      </w:pPr>
      <w:r w:rsidRPr="008940E6">
        <w:rPr>
          <w:rFonts w:cs="Arial"/>
        </w:rPr>
        <w:t>** The School Reserves are ring-fenced to schools and are used at schools' discretion.</w:t>
      </w:r>
    </w:p>
    <w:p w14:paraId="2E1EDC38" w14:textId="77777777" w:rsidR="00D10794" w:rsidRPr="008940E6" w:rsidRDefault="00D10794" w:rsidP="00D10794">
      <w:pPr>
        <w:spacing w:after="0"/>
        <w:rPr>
          <w:rFonts w:cs="Arial"/>
          <w:b/>
          <w:bCs/>
        </w:rPr>
      </w:pPr>
    </w:p>
    <w:p w14:paraId="70F327D2" w14:textId="77777777" w:rsidR="00D10794" w:rsidRPr="008940E6" w:rsidRDefault="00D10794" w:rsidP="00D10794">
      <w:pPr>
        <w:spacing w:after="0"/>
        <w:rPr>
          <w:rFonts w:cs="Arial"/>
        </w:rPr>
      </w:pPr>
      <w:r w:rsidRPr="008940E6">
        <w:rPr>
          <w:rFonts w:cs="Arial"/>
        </w:rPr>
        <w:t>Under the Education Reform Act, schools are given most of their budgets to directly control. If a school does not spend its entire budget, it is held as a reserve for them to use in the future. These reserves cannot be used for any other purpose.</w:t>
      </w:r>
    </w:p>
    <w:p w14:paraId="3B4B92D2" w14:textId="77777777" w:rsidR="00D10794" w:rsidRPr="00C529BF" w:rsidRDefault="00D10794" w:rsidP="00D10794">
      <w:pPr>
        <w:spacing w:after="0"/>
        <w:rPr>
          <w:rFonts w:cs="Arial"/>
          <w:highlight w:val="yellow"/>
        </w:rPr>
      </w:pPr>
    </w:p>
    <w:p w14:paraId="5D4C5755" w14:textId="77777777" w:rsidR="00D10794" w:rsidRPr="00C529BF" w:rsidRDefault="00D10794" w:rsidP="00D10794">
      <w:pPr>
        <w:spacing w:after="0"/>
        <w:rPr>
          <w:rFonts w:cs="Arial"/>
          <w:highlight w:val="yellow"/>
        </w:rPr>
      </w:pPr>
    </w:p>
    <w:p w14:paraId="54BF37F0" w14:textId="77777777" w:rsidR="00D10794" w:rsidRPr="00C529BF" w:rsidRDefault="00D10794" w:rsidP="00D10794">
      <w:pPr>
        <w:spacing w:after="0"/>
        <w:rPr>
          <w:rFonts w:cs="Arial"/>
          <w:highlight w:val="yellow"/>
        </w:rPr>
      </w:pPr>
    </w:p>
    <w:p w14:paraId="46D1C6C8" w14:textId="77777777" w:rsidR="00D10794" w:rsidRPr="00C529BF" w:rsidRDefault="00D10794" w:rsidP="00D10794">
      <w:pPr>
        <w:spacing w:after="0"/>
        <w:rPr>
          <w:rFonts w:cs="Arial"/>
          <w:highlight w:val="yellow"/>
        </w:rPr>
      </w:pPr>
    </w:p>
    <w:p w14:paraId="78C3C344" w14:textId="77777777" w:rsidR="00D10794" w:rsidRPr="00C529BF" w:rsidRDefault="00D10794" w:rsidP="00D10794">
      <w:pPr>
        <w:spacing w:after="0"/>
        <w:rPr>
          <w:rFonts w:cs="Arial"/>
          <w:highlight w:val="yellow"/>
        </w:rPr>
      </w:pPr>
    </w:p>
    <w:p w14:paraId="0926F507" w14:textId="77777777" w:rsidR="00D10794" w:rsidRPr="00C529BF" w:rsidRDefault="00D10794" w:rsidP="00D10794">
      <w:pPr>
        <w:spacing w:after="0"/>
        <w:rPr>
          <w:rFonts w:cs="Arial"/>
          <w:highlight w:val="yellow"/>
        </w:rPr>
      </w:pPr>
    </w:p>
    <w:p w14:paraId="3692C19E" w14:textId="77777777" w:rsidR="00D10794" w:rsidRPr="00C529BF" w:rsidRDefault="00D10794" w:rsidP="00D10794">
      <w:pPr>
        <w:spacing w:after="0"/>
        <w:rPr>
          <w:rFonts w:cs="Arial"/>
          <w:highlight w:val="yellow"/>
        </w:rPr>
      </w:pPr>
    </w:p>
    <w:p w14:paraId="371AAD74" w14:textId="77777777" w:rsidR="00D10794" w:rsidRPr="00C529BF" w:rsidRDefault="00D10794" w:rsidP="00D10794">
      <w:pPr>
        <w:spacing w:after="0"/>
        <w:rPr>
          <w:rFonts w:cs="Arial"/>
          <w:highlight w:val="yellow"/>
        </w:rPr>
      </w:pPr>
    </w:p>
    <w:p w14:paraId="157D19EE" w14:textId="77777777" w:rsidR="00D10794" w:rsidRPr="00C529BF" w:rsidRDefault="00D10794" w:rsidP="00D10794">
      <w:pPr>
        <w:spacing w:after="0"/>
        <w:rPr>
          <w:rFonts w:cs="Arial"/>
          <w:highlight w:val="yellow"/>
        </w:rPr>
      </w:pPr>
    </w:p>
    <w:p w14:paraId="7B586A51" w14:textId="77777777" w:rsidR="00D10794" w:rsidRPr="00C529BF" w:rsidRDefault="00D10794" w:rsidP="00D10794">
      <w:pPr>
        <w:spacing w:after="0"/>
        <w:rPr>
          <w:rFonts w:cs="Arial"/>
          <w:highlight w:val="yellow"/>
        </w:rPr>
      </w:pPr>
    </w:p>
    <w:p w14:paraId="09F3A1BC" w14:textId="77777777" w:rsidR="00D10794" w:rsidRPr="00C529BF" w:rsidRDefault="00D10794" w:rsidP="00D10794">
      <w:pPr>
        <w:spacing w:after="0"/>
        <w:rPr>
          <w:rFonts w:cs="Arial"/>
          <w:highlight w:val="yellow"/>
        </w:rPr>
      </w:pPr>
    </w:p>
    <w:p w14:paraId="629069F5" w14:textId="77777777" w:rsidR="00D10794" w:rsidRPr="00C529BF" w:rsidRDefault="00D10794" w:rsidP="00D10794">
      <w:pPr>
        <w:spacing w:after="0"/>
        <w:rPr>
          <w:rFonts w:cs="Arial"/>
          <w:highlight w:val="yellow"/>
        </w:rPr>
      </w:pPr>
    </w:p>
    <w:p w14:paraId="593DD2D7" w14:textId="77777777" w:rsidR="00D10794" w:rsidRPr="00C529BF" w:rsidRDefault="00D10794" w:rsidP="00D10794">
      <w:pPr>
        <w:spacing w:after="0"/>
        <w:rPr>
          <w:rFonts w:cs="Arial"/>
          <w:highlight w:val="yellow"/>
        </w:rPr>
      </w:pPr>
    </w:p>
    <w:p w14:paraId="33CE5F18" w14:textId="77777777" w:rsidR="00D10794" w:rsidRPr="00C529BF" w:rsidRDefault="00D10794" w:rsidP="00D10794">
      <w:pPr>
        <w:spacing w:after="0"/>
        <w:rPr>
          <w:rFonts w:cs="Arial"/>
          <w:highlight w:val="yellow"/>
        </w:rPr>
      </w:pPr>
    </w:p>
    <w:p w14:paraId="0F22DF28" w14:textId="77777777" w:rsidR="00D10794" w:rsidRPr="00C529BF" w:rsidRDefault="00D10794" w:rsidP="00D10794">
      <w:pPr>
        <w:spacing w:after="0"/>
        <w:rPr>
          <w:rFonts w:cs="Arial"/>
          <w:highlight w:val="yellow"/>
        </w:rPr>
      </w:pPr>
    </w:p>
    <w:p w14:paraId="47D7C74A" w14:textId="77777777" w:rsidR="00D10794" w:rsidRPr="00C529BF" w:rsidRDefault="00D10794" w:rsidP="00D10794">
      <w:pPr>
        <w:spacing w:after="0"/>
        <w:rPr>
          <w:rFonts w:cs="Arial"/>
          <w:highlight w:val="yellow"/>
        </w:rPr>
      </w:pPr>
    </w:p>
    <w:p w14:paraId="3C053FD8" w14:textId="77777777" w:rsidR="00D10794" w:rsidRPr="00C529BF" w:rsidRDefault="00D10794" w:rsidP="00D10794">
      <w:pPr>
        <w:spacing w:after="0"/>
        <w:rPr>
          <w:rFonts w:cs="Arial"/>
          <w:highlight w:val="yellow"/>
        </w:rPr>
      </w:pPr>
    </w:p>
    <w:p w14:paraId="306F12C4" w14:textId="77777777" w:rsidR="00D10794" w:rsidRPr="00C529BF" w:rsidRDefault="00D10794" w:rsidP="00D10794">
      <w:pPr>
        <w:spacing w:after="0"/>
        <w:rPr>
          <w:rFonts w:cs="Arial"/>
          <w:highlight w:val="yellow"/>
        </w:rPr>
      </w:pPr>
    </w:p>
    <w:p w14:paraId="302FC61E" w14:textId="77777777" w:rsidR="00D10794" w:rsidRPr="00C529BF" w:rsidRDefault="00D10794" w:rsidP="00D10794">
      <w:pPr>
        <w:spacing w:after="0"/>
        <w:rPr>
          <w:rFonts w:cs="Arial"/>
          <w:highlight w:val="yellow"/>
        </w:rPr>
      </w:pPr>
    </w:p>
    <w:p w14:paraId="33D0295E" w14:textId="77777777" w:rsidR="00D10794" w:rsidRPr="00C529BF" w:rsidRDefault="00D10794" w:rsidP="00D10794">
      <w:pPr>
        <w:spacing w:after="0"/>
        <w:rPr>
          <w:rFonts w:cs="Arial"/>
          <w:highlight w:val="yellow"/>
        </w:rPr>
      </w:pPr>
    </w:p>
    <w:p w14:paraId="53CFC507" w14:textId="77777777" w:rsidR="00D10794" w:rsidRPr="00C529BF" w:rsidRDefault="00D10794" w:rsidP="00D10794">
      <w:pPr>
        <w:spacing w:after="0"/>
        <w:rPr>
          <w:rFonts w:cs="Arial"/>
          <w:highlight w:val="yellow"/>
        </w:rPr>
      </w:pPr>
    </w:p>
    <w:p w14:paraId="64C67B20" w14:textId="77777777" w:rsidR="00D10794" w:rsidRPr="00C529BF" w:rsidRDefault="00D10794" w:rsidP="00D10794">
      <w:pPr>
        <w:spacing w:after="0"/>
        <w:rPr>
          <w:rFonts w:cs="Arial"/>
          <w:highlight w:val="yellow"/>
        </w:rPr>
      </w:pPr>
    </w:p>
    <w:p w14:paraId="2D6E75CF" w14:textId="77777777" w:rsidR="00D10794" w:rsidRPr="00C529BF" w:rsidRDefault="00D10794" w:rsidP="00D10794">
      <w:pPr>
        <w:spacing w:after="0"/>
        <w:rPr>
          <w:rFonts w:cs="Arial"/>
          <w:highlight w:val="yellow"/>
        </w:rPr>
      </w:pPr>
    </w:p>
    <w:p w14:paraId="01AA515B" w14:textId="77777777" w:rsidR="00D10794" w:rsidRDefault="00D10794" w:rsidP="00D10794">
      <w:pPr>
        <w:spacing w:after="0"/>
        <w:rPr>
          <w:rFonts w:cs="Arial"/>
          <w:highlight w:val="yellow"/>
        </w:rPr>
      </w:pPr>
    </w:p>
    <w:p w14:paraId="7DFFCAA6" w14:textId="77777777" w:rsidR="00D10794" w:rsidRPr="00C529BF" w:rsidRDefault="00D10794" w:rsidP="00D10794">
      <w:pPr>
        <w:spacing w:after="0"/>
        <w:rPr>
          <w:rFonts w:cs="Arial"/>
          <w:highlight w:val="yellow"/>
        </w:rPr>
      </w:pPr>
    </w:p>
    <w:p w14:paraId="590E4428" w14:textId="77777777" w:rsidR="00D10794" w:rsidRDefault="00D10794" w:rsidP="00D10794">
      <w:pPr>
        <w:spacing w:after="0"/>
        <w:rPr>
          <w:rFonts w:cs="Arial"/>
          <w:highlight w:val="yellow"/>
        </w:rPr>
      </w:pPr>
    </w:p>
    <w:p w14:paraId="13598FAC" w14:textId="77777777" w:rsidR="00D10794" w:rsidRDefault="00D10794" w:rsidP="00D10794">
      <w:pPr>
        <w:spacing w:after="0"/>
        <w:rPr>
          <w:rFonts w:cs="Arial"/>
          <w:highlight w:val="yellow"/>
        </w:rPr>
      </w:pPr>
    </w:p>
    <w:p w14:paraId="6DE9647E" w14:textId="77777777" w:rsidR="00D10794" w:rsidRDefault="00D10794" w:rsidP="00D10794">
      <w:pPr>
        <w:spacing w:after="0"/>
        <w:rPr>
          <w:rFonts w:cs="Arial"/>
          <w:highlight w:val="yellow"/>
        </w:rPr>
      </w:pPr>
    </w:p>
    <w:p w14:paraId="2DC119A7" w14:textId="77777777" w:rsidR="00D10794" w:rsidRDefault="00D10794" w:rsidP="00D10794">
      <w:pPr>
        <w:spacing w:after="0"/>
        <w:rPr>
          <w:rFonts w:cs="Arial"/>
          <w:highlight w:val="yellow"/>
        </w:rPr>
      </w:pPr>
    </w:p>
    <w:p w14:paraId="6401FA73" w14:textId="77777777" w:rsidR="00D10794" w:rsidRDefault="00D10794" w:rsidP="00D10794">
      <w:pPr>
        <w:spacing w:after="0"/>
        <w:rPr>
          <w:rFonts w:cs="Arial"/>
          <w:highlight w:val="yellow"/>
        </w:rPr>
      </w:pPr>
    </w:p>
    <w:p w14:paraId="3AF2055D" w14:textId="77777777" w:rsidR="00D10794" w:rsidRDefault="00D10794" w:rsidP="00D10794">
      <w:pPr>
        <w:spacing w:after="0"/>
        <w:rPr>
          <w:rFonts w:cs="Arial"/>
          <w:highlight w:val="yellow"/>
        </w:rPr>
      </w:pPr>
    </w:p>
    <w:p w14:paraId="71C496BA" w14:textId="77777777" w:rsidR="00D10794" w:rsidRDefault="00D10794" w:rsidP="00D10794">
      <w:pPr>
        <w:spacing w:after="0"/>
        <w:rPr>
          <w:rFonts w:cs="Arial"/>
          <w:highlight w:val="yellow"/>
        </w:rPr>
      </w:pPr>
    </w:p>
    <w:p w14:paraId="1DD74486" w14:textId="77777777" w:rsidR="00D10794" w:rsidRDefault="00D10794" w:rsidP="00D10794">
      <w:pPr>
        <w:spacing w:after="0"/>
        <w:rPr>
          <w:rFonts w:cs="Arial"/>
          <w:highlight w:val="yellow"/>
        </w:rPr>
      </w:pPr>
    </w:p>
    <w:p w14:paraId="666C9255" w14:textId="77777777" w:rsidR="00D10794" w:rsidRDefault="00D10794" w:rsidP="00D10794">
      <w:pPr>
        <w:spacing w:after="0"/>
        <w:rPr>
          <w:rFonts w:cs="Arial"/>
          <w:highlight w:val="yellow"/>
        </w:rPr>
      </w:pPr>
    </w:p>
    <w:p w14:paraId="6E36B5EC" w14:textId="77777777" w:rsidR="00D10794" w:rsidRPr="00C529BF" w:rsidRDefault="00D10794" w:rsidP="00D10794">
      <w:pPr>
        <w:spacing w:after="0"/>
        <w:rPr>
          <w:rFonts w:cs="Arial"/>
          <w:highlight w:val="yellow"/>
        </w:rPr>
      </w:pPr>
    </w:p>
    <w:p w14:paraId="43EDFFEB" w14:textId="77777777" w:rsidR="00D10794" w:rsidRPr="002735C5" w:rsidRDefault="00D10794" w:rsidP="00D10794">
      <w:pPr>
        <w:spacing w:after="0"/>
        <w:rPr>
          <w:rFonts w:cs="Arial"/>
          <w:b/>
          <w:bCs/>
        </w:rPr>
      </w:pPr>
      <w:r w:rsidRPr="002735C5">
        <w:rPr>
          <w:rFonts w:cs="Arial"/>
          <w:b/>
          <w:bCs/>
        </w:rPr>
        <w:lastRenderedPageBreak/>
        <w:t>Section C – The 2020/21 Capital Delivery Programme</w:t>
      </w:r>
    </w:p>
    <w:p w14:paraId="1C7FA47A" w14:textId="77777777" w:rsidR="00D10794" w:rsidRPr="002735C5" w:rsidRDefault="00D10794" w:rsidP="00D10794">
      <w:pPr>
        <w:spacing w:after="0"/>
        <w:rPr>
          <w:rFonts w:cs="Arial"/>
          <w:b/>
          <w:bCs/>
          <w:highlight w:val="yellow"/>
        </w:rPr>
      </w:pPr>
    </w:p>
    <w:p w14:paraId="67D5A872" w14:textId="77777777" w:rsidR="00D10794" w:rsidRPr="00E34017" w:rsidRDefault="00D10794" w:rsidP="00D10794">
      <w:pPr>
        <w:numPr>
          <w:ilvl w:val="0"/>
          <w:numId w:val="31"/>
        </w:numPr>
        <w:autoSpaceDE/>
        <w:autoSpaceDN/>
        <w:adjustRightInd/>
        <w:spacing w:after="160" w:line="259" w:lineRule="auto"/>
        <w:contextualSpacing/>
        <w:jc w:val="left"/>
        <w:rPr>
          <w:rFonts w:cstheme="minorHAnsi"/>
          <w:b/>
        </w:rPr>
      </w:pPr>
      <w:r w:rsidRPr="00E34017">
        <w:rPr>
          <w:rFonts w:cstheme="minorHAnsi"/>
          <w:b/>
        </w:rPr>
        <w:t>Introduction</w:t>
      </w:r>
    </w:p>
    <w:p w14:paraId="7C35F581" w14:textId="77777777" w:rsidR="00D10794" w:rsidRDefault="00D10794" w:rsidP="00D10794">
      <w:pPr>
        <w:spacing w:after="0"/>
        <w:rPr>
          <w:rFonts w:cstheme="minorHAnsi"/>
        </w:rPr>
      </w:pPr>
    </w:p>
    <w:p w14:paraId="0AAC0C3D" w14:textId="0362B13C" w:rsidR="00D10794" w:rsidRDefault="00D10794" w:rsidP="00D10794">
      <w:pPr>
        <w:spacing w:after="0"/>
        <w:rPr>
          <w:rFonts w:cstheme="minorHAnsi"/>
        </w:rPr>
      </w:pPr>
      <w:r w:rsidRPr="006613EA">
        <w:rPr>
          <w:rFonts w:cstheme="minorHAnsi"/>
        </w:rPr>
        <w:t xml:space="preserve">In February 2020 an indicative Capital Delivery Programme of £133.842m was agreed with Cabinet. Subsequently approved additions and re-profiling of the programme have increased the in-year </w:t>
      </w:r>
      <w:r w:rsidRPr="00287115">
        <w:rPr>
          <w:rFonts w:cstheme="minorHAnsi"/>
        </w:rPr>
        <w:t>programme to £160.420m</w:t>
      </w:r>
      <w:r w:rsidRPr="000C487A">
        <w:rPr>
          <w:rFonts w:cstheme="minorHAnsi"/>
        </w:rPr>
        <w:t xml:space="preserve"> </w:t>
      </w:r>
    </w:p>
    <w:p w14:paraId="055E2614" w14:textId="77777777" w:rsidR="00D10794" w:rsidRPr="00E34017" w:rsidRDefault="00D10794" w:rsidP="00D10794">
      <w:pPr>
        <w:spacing w:after="0"/>
        <w:rPr>
          <w:rFonts w:cstheme="minorHAnsi"/>
        </w:rPr>
      </w:pPr>
    </w:p>
    <w:p w14:paraId="07E77D4C" w14:textId="77777777" w:rsidR="00D10794" w:rsidRDefault="00D10794" w:rsidP="00D10794">
      <w:pPr>
        <w:spacing w:after="0"/>
        <w:rPr>
          <w:rFonts w:cstheme="minorHAnsi"/>
        </w:rPr>
      </w:pPr>
      <w:r w:rsidRPr="00E34017">
        <w:rPr>
          <w:rFonts w:cstheme="minorHAnsi"/>
        </w:rPr>
        <w:t xml:space="preserve">The Delivery Programme is shown in section 2 split by block. </w:t>
      </w:r>
      <w:r>
        <w:rPr>
          <w:rFonts w:cstheme="minorHAnsi"/>
        </w:rPr>
        <w:t xml:space="preserve">This was agreed by service heads </w:t>
      </w:r>
      <w:r w:rsidRPr="00E34017">
        <w:rPr>
          <w:rFonts w:cstheme="minorHAnsi"/>
        </w:rPr>
        <w:t xml:space="preserve">as being deliverable </w:t>
      </w:r>
      <w:r>
        <w:rPr>
          <w:rFonts w:cstheme="minorHAnsi"/>
        </w:rPr>
        <w:t xml:space="preserve">with the caveat of the overarching risk coming from </w:t>
      </w:r>
      <w:proofErr w:type="spellStart"/>
      <w:r>
        <w:rPr>
          <w:rFonts w:cstheme="minorHAnsi"/>
        </w:rPr>
        <w:t>Covid</w:t>
      </w:r>
      <w:proofErr w:type="spellEnd"/>
      <w:r>
        <w:rPr>
          <w:rFonts w:cstheme="minorHAnsi"/>
        </w:rPr>
        <w:t xml:space="preserve"> related delays. The </w:t>
      </w:r>
      <w:r w:rsidRPr="00E34017">
        <w:rPr>
          <w:rFonts w:cstheme="minorHAnsi"/>
        </w:rPr>
        <w:t xml:space="preserve">project and programme managers </w:t>
      </w:r>
      <w:r>
        <w:rPr>
          <w:rFonts w:cstheme="minorHAnsi"/>
        </w:rPr>
        <w:t xml:space="preserve">were </w:t>
      </w:r>
      <w:r w:rsidRPr="00E34017">
        <w:rPr>
          <w:rFonts w:cstheme="minorHAnsi"/>
        </w:rPr>
        <w:t>held accountable using the following actions:</w:t>
      </w:r>
    </w:p>
    <w:p w14:paraId="56BE90A5" w14:textId="77777777" w:rsidR="00D10794" w:rsidRPr="00E34017" w:rsidRDefault="00D10794" w:rsidP="00D10794">
      <w:pPr>
        <w:spacing w:after="0"/>
        <w:rPr>
          <w:rFonts w:cstheme="minorHAnsi"/>
        </w:rPr>
      </w:pPr>
    </w:p>
    <w:p w14:paraId="67BFE115" w14:textId="77777777" w:rsidR="00D10794" w:rsidRPr="00E34017" w:rsidRDefault="00D10794" w:rsidP="00D10794">
      <w:pPr>
        <w:numPr>
          <w:ilvl w:val="0"/>
          <w:numId w:val="32"/>
        </w:numPr>
        <w:autoSpaceDE/>
        <w:autoSpaceDN/>
        <w:adjustRightInd/>
        <w:spacing w:after="0"/>
        <w:contextualSpacing/>
        <w:jc w:val="left"/>
        <w:rPr>
          <w:rFonts w:cstheme="minorHAnsi"/>
        </w:rPr>
      </w:pPr>
      <w:r w:rsidRPr="00E34017">
        <w:rPr>
          <w:rFonts w:cstheme="minorHAnsi"/>
        </w:rPr>
        <w:t>Detailed monitoring of the delivery programme through 2020</w:t>
      </w:r>
      <w:r w:rsidRPr="00150E8D">
        <w:rPr>
          <w:rFonts w:cstheme="minorHAnsi"/>
        </w:rPr>
        <w:t>/21</w:t>
      </w:r>
      <w:r w:rsidRPr="00E34017">
        <w:rPr>
          <w:rFonts w:cstheme="minorHAnsi"/>
        </w:rPr>
        <w:t xml:space="preserve"> to ensure variances are reported in a timely manner and a robust level of challenge is provided to programme and project managers to ensure delivery remains on track</w:t>
      </w:r>
    </w:p>
    <w:p w14:paraId="472AC5FC" w14:textId="77777777" w:rsidR="00D10794" w:rsidRPr="00E34017" w:rsidRDefault="00D10794" w:rsidP="00D10794">
      <w:pPr>
        <w:numPr>
          <w:ilvl w:val="0"/>
          <w:numId w:val="32"/>
        </w:numPr>
        <w:autoSpaceDE/>
        <w:autoSpaceDN/>
        <w:adjustRightInd/>
        <w:spacing w:after="0"/>
        <w:contextualSpacing/>
        <w:jc w:val="left"/>
        <w:rPr>
          <w:rFonts w:cstheme="minorHAnsi"/>
        </w:rPr>
      </w:pPr>
      <w:r w:rsidRPr="00E34017">
        <w:rPr>
          <w:rFonts w:cstheme="minorHAnsi"/>
        </w:rPr>
        <w:t xml:space="preserve">Performance reports developed to enable the Capital Board </w:t>
      </w:r>
      <w:r>
        <w:rPr>
          <w:rFonts w:cstheme="minorHAnsi"/>
        </w:rPr>
        <w:t xml:space="preserve">members </w:t>
      </w:r>
      <w:r w:rsidRPr="00E34017">
        <w:rPr>
          <w:rFonts w:cstheme="minorHAnsi"/>
        </w:rPr>
        <w:t>to undertake this monitoring and challenge.</w:t>
      </w:r>
    </w:p>
    <w:p w14:paraId="4EFA28D7" w14:textId="77777777" w:rsidR="00D10794" w:rsidRPr="00150E8D" w:rsidRDefault="00D10794" w:rsidP="00D10794">
      <w:pPr>
        <w:spacing w:after="0"/>
        <w:rPr>
          <w:rFonts w:cstheme="minorHAnsi"/>
          <w:b/>
          <w:color w:val="000000" w:themeColor="text1"/>
        </w:rPr>
      </w:pPr>
    </w:p>
    <w:p w14:paraId="6DFDA734" w14:textId="77777777" w:rsidR="00D10794" w:rsidRPr="00E34017" w:rsidRDefault="00D10794" w:rsidP="00D10794">
      <w:pPr>
        <w:numPr>
          <w:ilvl w:val="0"/>
          <w:numId w:val="31"/>
        </w:numPr>
        <w:autoSpaceDE/>
        <w:autoSpaceDN/>
        <w:adjustRightInd/>
        <w:spacing w:after="0"/>
        <w:contextualSpacing/>
        <w:jc w:val="left"/>
        <w:rPr>
          <w:rFonts w:cstheme="minorHAnsi"/>
          <w:b/>
        </w:rPr>
      </w:pPr>
      <w:r w:rsidRPr="00E34017">
        <w:rPr>
          <w:rFonts w:cstheme="minorHAnsi"/>
          <w:b/>
        </w:rPr>
        <w:t>Delivery Programme</w:t>
      </w:r>
    </w:p>
    <w:p w14:paraId="66FE7AB3" w14:textId="77777777" w:rsidR="00D10794" w:rsidRDefault="00D10794" w:rsidP="00D10794">
      <w:pPr>
        <w:spacing w:after="0"/>
        <w:rPr>
          <w:rFonts w:cstheme="minorHAnsi"/>
        </w:rPr>
      </w:pPr>
    </w:p>
    <w:p w14:paraId="370473B2" w14:textId="12F90BFF" w:rsidR="00D10794" w:rsidRDefault="00D10794" w:rsidP="00D10794">
      <w:pPr>
        <w:spacing w:after="0"/>
        <w:rPr>
          <w:rFonts w:cstheme="minorHAnsi"/>
        </w:rPr>
      </w:pPr>
      <w:r w:rsidRPr="00E34017">
        <w:rPr>
          <w:rFonts w:cstheme="minorHAnsi"/>
        </w:rPr>
        <w:t xml:space="preserve">The delivery programme </w:t>
      </w:r>
      <w:r>
        <w:rPr>
          <w:rFonts w:cstheme="minorHAnsi"/>
        </w:rPr>
        <w:t xml:space="preserve">is made up of the Full Council agreed 2020/21 budget updated for subsequent Cabinet approved decisions, </w:t>
      </w:r>
      <w:r w:rsidRPr="00E34017">
        <w:rPr>
          <w:rFonts w:cstheme="minorHAnsi"/>
        </w:rPr>
        <w:t>reprofiling and an expected delivery amount for prior year schemes. This form</w:t>
      </w:r>
      <w:r>
        <w:rPr>
          <w:rFonts w:cstheme="minorHAnsi"/>
        </w:rPr>
        <w:t>ed</w:t>
      </w:r>
      <w:r w:rsidRPr="00E34017">
        <w:rPr>
          <w:rFonts w:cstheme="minorHAnsi"/>
        </w:rPr>
        <w:t xml:space="preserve"> the basis of the monitoring report</w:t>
      </w:r>
      <w:r>
        <w:rPr>
          <w:rFonts w:cstheme="minorHAnsi"/>
        </w:rPr>
        <w:t xml:space="preserve"> throughout the year</w:t>
      </w:r>
      <w:r w:rsidRPr="00E34017">
        <w:rPr>
          <w:rFonts w:cstheme="minorHAnsi"/>
        </w:rPr>
        <w:t xml:space="preserve">. </w:t>
      </w:r>
    </w:p>
    <w:p w14:paraId="40D74C9B" w14:textId="77777777" w:rsidR="00D10794" w:rsidRDefault="00D10794" w:rsidP="00D10794">
      <w:pPr>
        <w:spacing w:after="0"/>
        <w:rPr>
          <w:rFonts w:cstheme="minorHAnsi"/>
        </w:rPr>
      </w:pPr>
    </w:p>
    <w:p w14:paraId="1EA2A117" w14:textId="7695CEA0" w:rsidR="00D10794" w:rsidRDefault="00D10794" w:rsidP="00D10794">
      <w:pPr>
        <w:spacing w:after="0"/>
        <w:rPr>
          <w:rFonts w:cstheme="minorHAnsi"/>
        </w:rPr>
      </w:pPr>
      <w:r>
        <w:rPr>
          <w:rFonts w:cstheme="minorHAnsi"/>
        </w:rPr>
        <w:t>With additional funding being received in year specifically to help the Council deliver projects to aid the restrictions or the recovery from the C</w:t>
      </w:r>
      <w:r w:rsidR="00A87DE9">
        <w:rPr>
          <w:rFonts w:cstheme="minorHAnsi"/>
        </w:rPr>
        <w:t xml:space="preserve">ovid-19 </w:t>
      </w:r>
      <w:r>
        <w:rPr>
          <w:rFonts w:cstheme="minorHAnsi"/>
        </w:rPr>
        <w:t>pandemic, the delivery programme noticeably increased. These additional projects took priority over some schemes listed in the original delivery programme, causing large some slippage variances which are detailed in the report.  These risks have been reported to Cabinet in money matters reports during the year.</w:t>
      </w:r>
    </w:p>
    <w:p w14:paraId="600AAD78" w14:textId="77777777" w:rsidR="00D10794" w:rsidRDefault="00D10794" w:rsidP="00D10794">
      <w:pPr>
        <w:spacing w:after="0"/>
        <w:rPr>
          <w:rFonts w:cstheme="minorHAnsi"/>
        </w:rPr>
      </w:pPr>
    </w:p>
    <w:p w14:paraId="14ADC4B0" w14:textId="77777777" w:rsidR="00D10794" w:rsidRDefault="00D10794" w:rsidP="00D10794">
      <w:pPr>
        <w:spacing w:after="0"/>
        <w:rPr>
          <w:rFonts w:cstheme="minorHAnsi"/>
        </w:rPr>
      </w:pPr>
    </w:p>
    <w:p w14:paraId="695F6396" w14:textId="77777777" w:rsidR="00D10794" w:rsidRDefault="00D10794" w:rsidP="00D10794">
      <w:pPr>
        <w:spacing w:after="0"/>
        <w:rPr>
          <w:rFonts w:cstheme="minorHAnsi"/>
        </w:rPr>
      </w:pPr>
    </w:p>
    <w:p w14:paraId="0B7C4E8F" w14:textId="77777777" w:rsidR="00D10794" w:rsidRDefault="00D10794" w:rsidP="00D10794">
      <w:pPr>
        <w:spacing w:after="0"/>
        <w:rPr>
          <w:rFonts w:cstheme="minorHAnsi"/>
        </w:rPr>
      </w:pPr>
    </w:p>
    <w:p w14:paraId="3ADE67FE" w14:textId="77777777" w:rsidR="00D10794" w:rsidRDefault="00D10794" w:rsidP="00D10794">
      <w:pPr>
        <w:spacing w:after="0"/>
        <w:rPr>
          <w:rFonts w:cstheme="minorHAnsi"/>
        </w:rPr>
      </w:pPr>
    </w:p>
    <w:p w14:paraId="01483CEA" w14:textId="77777777" w:rsidR="00D10794" w:rsidRDefault="00D10794" w:rsidP="00D10794">
      <w:pPr>
        <w:spacing w:after="0"/>
        <w:rPr>
          <w:rFonts w:cstheme="minorHAnsi"/>
        </w:rPr>
      </w:pPr>
    </w:p>
    <w:p w14:paraId="4B5594FB" w14:textId="77777777" w:rsidR="00D10794" w:rsidRDefault="00D10794" w:rsidP="00D10794">
      <w:pPr>
        <w:spacing w:after="0"/>
        <w:rPr>
          <w:rFonts w:cstheme="minorHAnsi"/>
        </w:rPr>
      </w:pPr>
    </w:p>
    <w:p w14:paraId="2D412EF6" w14:textId="77777777" w:rsidR="00D10794" w:rsidRDefault="00D10794" w:rsidP="00D10794">
      <w:pPr>
        <w:spacing w:after="0"/>
        <w:rPr>
          <w:rFonts w:cstheme="minorHAnsi"/>
        </w:rPr>
      </w:pPr>
    </w:p>
    <w:p w14:paraId="38B36723" w14:textId="77777777" w:rsidR="00D10794" w:rsidRDefault="00D10794" w:rsidP="00D10794">
      <w:pPr>
        <w:spacing w:after="0"/>
        <w:rPr>
          <w:rFonts w:cstheme="minorHAnsi"/>
        </w:rPr>
      </w:pPr>
    </w:p>
    <w:p w14:paraId="55888666" w14:textId="77777777" w:rsidR="00D10794" w:rsidRDefault="00D10794" w:rsidP="00D10794">
      <w:pPr>
        <w:spacing w:after="0"/>
        <w:rPr>
          <w:rFonts w:cstheme="minorHAnsi"/>
        </w:rPr>
      </w:pPr>
    </w:p>
    <w:p w14:paraId="7198EB57" w14:textId="77777777" w:rsidR="00D10794" w:rsidRDefault="00D10794" w:rsidP="00D10794">
      <w:pPr>
        <w:spacing w:after="0"/>
        <w:rPr>
          <w:rFonts w:cstheme="minorHAnsi"/>
        </w:rPr>
      </w:pPr>
    </w:p>
    <w:p w14:paraId="12896537" w14:textId="77777777" w:rsidR="00D10794" w:rsidRDefault="00D10794" w:rsidP="00D10794">
      <w:pPr>
        <w:spacing w:after="0"/>
        <w:rPr>
          <w:rFonts w:cstheme="minorHAnsi"/>
        </w:rPr>
      </w:pPr>
    </w:p>
    <w:p w14:paraId="3BFCA527" w14:textId="77777777" w:rsidR="00D10794" w:rsidRDefault="00D10794" w:rsidP="00D10794">
      <w:pPr>
        <w:spacing w:after="0"/>
        <w:rPr>
          <w:rFonts w:cstheme="minorHAnsi"/>
        </w:rPr>
      </w:pPr>
    </w:p>
    <w:p w14:paraId="6658AF85" w14:textId="77777777" w:rsidR="00D10794" w:rsidRDefault="00D10794" w:rsidP="00D10794">
      <w:pPr>
        <w:spacing w:after="0"/>
        <w:rPr>
          <w:rFonts w:cstheme="minorHAnsi"/>
        </w:rPr>
      </w:pPr>
    </w:p>
    <w:p w14:paraId="73525FCC" w14:textId="77777777" w:rsidR="00D10794" w:rsidRDefault="00D10794" w:rsidP="00D10794">
      <w:pPr>
        <w:spacing w:after="0"/>
        <w:rPr>
          <w:rFonts w:cstheme="minorHAnsi"/>
        </w:rPr>
      </w:pPr>
    </w:p>
    <w:p w14:paraId="3A321730" w14:textId="77777777" w:rsidR="00D10794" w:rsidRDefault="00D10794" w:rsidP="00D10794">
      <w:pPr>
        <w:spacing w:after="0"/>
        <w:rPr>
          <w:rFonts w:cstheme="minorHAnsi"/>
        </w:rPr>
      </w:pPr>
    </w:p>
    <w:p w14:paraId="2EB04C81" w14:textId="77777777" w:rsidR="00D10794" w:rsidRDefault="00D10794" w:rsidP="00D10794">
      <w:pPr>
        <w:spacing w:after="0"/>
        <w:rPr>
          <w:rFonts w:cstheme="minorHAnsi"/>
        </w:rPr>
      </w:pPr>
    </w:p>
    <w:p w14:paraId="3C73AFF4" w14:textId="77777777" w:rsidR="00D10794" w:rsidRDefault="00D10794" w:rsidP="00D10794">
      <w:pPr>
        <w:spacing w:after="0"/>
        <w:rPr>
          <w:rFonts w:cstheme="minorHAnsi"/>
        </w:rPr>
      </w:pPr>
    </w:p>
    <w:p w14:paraId="3D31FB3B" w14:textId="77777777" w:rsidR="00D10794" w:rsidRDefault="00D10794" w:rsidP="00D10794">
      <w:pPr>
        <w:spacing w:after="0"/>
        <w:rPr>
          <w:rFonts w:cstheme="minorHAnsi"/>
        </w:rPr>
      </w:pPr>
    </w:p>
    <w:p w14:paraId="417FED3C" w14:textId="77777777" w:rsidR="00D10794" w:rsidRDefault="00D10794" w:rsidP="00D10794">
      <w:pPr>
        <w:spacing w:after="0"/>
        <w:rPr>
          <w:rFonts w:cstheme="minorHAnsi"/>
        </w:rPr>
      </w:pPr>
    </w:p>
    <w:p w14:paraId="63BCF8BA" w14:textId="77777777" w:rsidR="00D10794" w:rsidRDefault="00D10794" w:rsidP="00D10794">
      <w:pPr>
        <w:spacing w:after="0"/>
        <w:rPr>
          <w:rFonts w:cstheme="minorHAnsi"/>
        </w:rPr>
      </w:pPr>
    </w:p>
    <w:p w14:paraId="639EE0EB" w14:textId="77777777" w:rsidR="00D10794" w:rsidRDefault="00D10794" w:rsidP="00D10794">
      <w:pPr>
        <w:spacing w:after="0"/>
        <w:rPr>
          <w:rFonts w:cstheme="minorHAnsi"/>
        </w:rPr>
      </w:pPr>
    </w:p>
    <w:p w14:paraId="6127800B" w14:textId="77777777" w:rsidR="00D10794" w:rsidRDefault="00D10794" w:rsidP="00D10794">
      <w:pPr>
        <w:spacing w:after="0"/>
        <w:rPr>
          <w:rFonts w:cstheme="minorHAnsi"/>
        </w:rPr>
      </w:pPr>
    </w:p>
    <w:p w14:paraId="43681CAF" w14:textId="77777777" w:rsidR="00D10794" w:rsidRDefault="00D10794" w:rsidP="00D10794">
      <w:pPr>
        <w:spacing w:after="0"/>
        <w:rPr>
          <w:rFonts w:cstheme="minorHAnsi"/>
        </w:rPr>
      </w:pPr>
      <w:r w:rsidRPr="00702EF2">
        <w:rPr>
          <w:rFonts w:cstheme="minorHAnsi"/>
        </w:rPr>
        <w:t>The total delivery programme is £</w:t>
      </w:r>
      <w:r>
        <w:rPr>
          <w:rFonts w:cstheme="minorHAnsi"/>
        </w:rPr>
        <w:t>160.420m</w:t>
      </w:r>
      <w:r w:rsidRPr="00702EF2">
        <w:rPr>
          <w:rFonts w:cstheme="minorHAnsi"/>
        </w:rPr>
        <w:t xml:space="preserve"> as set out in table 1 below:</w:t>
      </w:r>
    </w:p>
    <w:p w14:paraId="0C2134A1" w14:textId="77777777" w:rsidR="00D10794" w:rsidRDefault="00D10794" w:rsidP="00D10794">
      <w:pPr>
        <w:rPr>
          <w:rFonts w:cstheme="minorHAnsi"/>
        </w:rPr>
      </w:pPr>
    </w:p>
    <w:p w14:paraId="70ECA9CD" w14:textId="77777777" w:rsidR="00D10794" w:rsidRPr="00950AAA" w:rsidRDefault="00D10794" w:rsidP="00D10794">
      <w:pPr>
        <w:rPr>
          <w:rFonts w:cstheme="minorHAnsi"/>
          <w:b/>
          <w:color w:val="000000" w:themeColor="text1"/>
        </w:rPr>
      </w:pPr>
      <w:r w:rsidRPr="000C487A">
        <w:rPr>
          <w:rFonts w:cstheme="minorHAnsi"/>
          <w:b/>
          <w:color w:val="000000" w:themeColor="text1"/>
        </w:rPr>
        <w:t>T</w:t>
      </w:r>
      <w:r>
        <w:rPr>
          <w:rFonts w:cstheme="minorHAnsi"/>
          <w:b/>
          <w:color w:val="000000" w:themeColor="text1"/>
        </w:rPr>
        <w:t>able</w:t>
      </w:r>
      <w:r w:rsidRPr="000C487A">
        <w:rPr>
          <w:rFonts w:cstheme="minorHAnsi"/>
          <w:b/>
          <w:color w:val="000000" w:themeColor="text1"/>
        </w:rPr>
        <w:t xml:space="preserve"> 1 – 2020/21 Capital delivery programme by block</w:t>
      </w:r>
    </w:p>
    <w:tbl>
      <w:tblPr>
        <w:tblW w:w="9508" w:type="dxa"/>
        <w:tblLook w:val="04A0" w:firstRow="1" w:lastRow="0" w:firstColumn="1" w:lastColumn="0" w:noHBand="0" w:noVBand="1"/>
      </w:tblPr>
      <w:tblGrid>
        <w:gridCol w:w="2679"/>
        <w:gridCol w:w="1679"/>
        <w:gridCol w:w="1679"/>
        <w:gridCol w:w="1792"/>
        <w:gridCol w:w="1679"/>
      </w:tblGrid>
      <w:tr w:rsidR="002F12B1" w14:paraId="180BA98C" w14:textId="77777777" w:rsidTr="00D10794">
        <w:trPr>
          <w:trHeight w:val="1858"/>
        </w:trPr>
        <w:tc>
          <w:tcPr>
            <w:tcW w:w="267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423B08D8"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Service Area</w:t>
            </w:r>
          </w:p>
        </w:tc>
        <w:tc>
          <w:tcPr>
            <w:tcW w:w="1679" w:type="dxa"/>
            <w:tcBorders>
              <w:top w:val="single" w:sz="4" w:space="0" w:color="auto"/>
              <w:left w:val="nil"/>
              <w:bottom w:val="single" w:sz="4" w:space="0" w:color="auto"/>
              <w:right w:val="single" w:sz="4" w:space="0" w:color="auto"/>
            </w:tcBorders>
            <w:shd w:val="clear" w:color="000000" w:fill="D0CECE"/>
            <w:vAlign w:val="center"/>
            <w:hideMark/>
          </w:tcPr>
          <w:p w14:paraId="6DCF2B8B"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Delivery Programme agreed Feb 20</w:t>
            </w:r>
          </w:p>
        </w:tc>
        <w:tc>
          <w:tcPr>
            <w:tcW w:w="1679" w:type="dxa"/>
            <w:tcBorders>
              <w:top w:val="single" w:sz="4" w:space="0" w:color="auto"/>
              <w:left w:val="nil"/>
              <w:bottom w:val="single" w:sz="4" w:space="0" w:color="auto"/>
              <w:right w:val="single" w:sz="4" w:space="0" w:color="auto"/>
            </w:tcBorders>
            <w:shd w:val="clear" w:color="000000" w:fill="D0CECE"/>
            <w:vAlign w:val="center"/>
            <w:hideMark/>
          </w:tcPr>
          <w:p w14:paraId="15EAAFF6" w14:textId="77777777" w:rsidR="00D10794" w:rsidRDefault="00D10794" w:rsidP="00D10794">
            <w:pPr>
              <w:spacing w:after="0"/>
              <w:jc w:val="center"/>
              <w:rPr>
                <w:rFonts w:eastAsia="Times New Roman" w:cs="Arial"/>
                <w:b/>
                <w:bCs/>
                <w:sz w:val="20"/>
                <w:szCs w:val="20"/>
                <w:lang w:eastAsia="en-GB"/>
              </w:rPr>
            </w:pPr>
            <w:r>
              <w:rPr>
                <w:rFonts w:eastAsia="Times New Roman" w:cs="Arial"/>
                <w:b/>
                <w:bCs/>
                <w:sz w:val="20"/>
                <w:szCs w:val="20"/>
                <w:lang w:eastAsia="en-GB"/>
              </w:rPr>
              <w:t>Cabinet</w:t>
            </w:r>
          </w:p>
          <w:p w14:paraId="3FC674F9" w14:textId="7DCF548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Decisions</w:t>
            </w:r>
          </w:p>
        </w:tc>
        <w:tc>
          <w:tcPr>
            <w:tcW w:w="1792" w:type="dxa"/>
            <w:tcBorders>
              <w:top w:val="single" w:sz="4" w:space="0" w:color="auto"/>
              <w:left w:val="nil"/>
              <w:bottom w:val="single" w:sz="4" w:space="0" w:color="auto"/>
              <w:right w:val="single" w:sz="4" w:space="0" w:color="auto"/>
            </w:tcBorders>
            <w:shd w:val="clear" w:color="000000" w:fill="D0CECE"/>
            <w:vAlign w:val="center"/>
            <w:hideMark/>
          </w:tcPr>
          <w:p w14:paraId="3B824980"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Changes to planned delivery</w:t>
            </w:r>
          </w:p>
        </w:tc>
        <w:tc>
          <w:tcPr>
            <w:tcW w:w="1679" w:type="dxa"/>
            <w:tcBorders>
              <w:top w:val="single" w:sz="4" w:space="0" w:color="auto"/>
              <w:left w:val="nil"/>
              <w:bottom w:val="single" w:sz="4" w:space="0" w:color="auto"/>
              <w:right w:val="single" w:sz="4" w:space="0" w:color="auto"/>
            </w:tcBorders>
            <w:shd w:val="clear" w:color="000000" w:fill="D0CECE"/>
            <w:vAlign w:val="center"/>
            <w:hideMark/>
          </w:tcPr>
          <w:p w14:paraId="104A9390"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Total Delivery Plan for Monitoring</w:t>
            </w:r>
          </w:p>
        </w:tc>
      </w:tr>
      <w:tr w:rsidR="002F12B1" w14:paraId="2240AF2A" w14:textId="77777777" w:rsidTr="00D10794">
        <w:trPr>
          <w:trHeight w:val="389"/>
        </w:trPr>
        <w:tc>
          <w:tcPr>
            <w:tcW w:w="2679" w:type="dxa"/>
            <w:vMerge/>
            <w:tcBorders>
              <w:top w:val="single" w:sz="4" w:space="0" w:color="auto"/>
              <w:left w:val="single" w:sz="4" w:space="0" w:color="auto"/>
              <w:bottom w:val="single" w:sz="4" w:space="0" w:color="auto"/>
              <w:right w:val="single" w:sz="4" w:space="0" w:color="auto"/>
            </w:tcBorders>
            <w:vAlign w:val="center"/>
            <w:hideMark/>
          </w:tcPr>
          <w:p w14:paraId="1274161C" w14:textId="77777777" w:rsidR="00D10794" w:rsidRPr="00FA78A3" w:rsidRDefault="00D10794" w:rsidP="00D10794">
            <w:pPr>
              <w:spacing w:after="0"/>
              <w:rPr>
                <w:rFonts w:eastAsia="Times New Roman" w:cs="Arial"/>
                <w:b/>
                <w:bCs/>
                <w:sz w:val="20"/>
                <w:szCs w:val="20"/>
                <w:lang w:eastAsia="en-GB"/>
              </w:rPr>
            </w:pPr>
          </w:p>
        </w:tc>
        <w:tc>
          <w:tcPr>
            <w:tcW w:w="1679" w:type="dxa"/>
            <w:tcBorders>
              <w:top w:val="nil"/>
              <w:left w:val="nil"/>
              <w:bottom w:val="single" w:sz="4" w:space="0" w:color="auto"/>
              <w:right w:val="single" w:sz="4" w:space="0" w:color="auto"/>
            </w:tcBorders>
            <w:shd w:val="clear" w:color="000000" w:fill="D0CECE"/>
            <w:vAlign w:val="center"/>
            <w:hideMark/>
          </w:tcPr>
          <w:p w14:paraId="0A80F722"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£m</w:t>
            </w:r>
          </w:p>
        </w:tc>
        <w:tc>
          <w:tcPr>
            <w:tcW w:w="1679" w:type="dxa"/>
            <w:tcBorders>
              <w:top w:val="nil"/>
              <w:left w:val="nil"/>
              <w:bottom w:val="single" w:sz="4" w:space="0" w:color="auto"/>
              <w:right w:val="single" w:sz="4" w:space="0" w:color="auto"/>
            </w:tcBorders>
            <w:shd w:val="clear" w:color="000000" w:fill="D0CECE"/>
            <w:vAlign w:val="center"/>
            <w:hideMark/>
          </w:tcPr>
          <w:p w14:paraId="1095875B"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£m</w:t>
            </w:r>
          </w:p>
        </w:tc>
        <w:tc>
          <w:tcPr>
            <w:tcW w:w="1792" w:type="dxa"/>
            <w:tcBorders>
              <w:top w:val="nil"/>
              <w:left w:val="nil"/>
              <w:bottom w:val="single" w:sz="4" w:space="0" w:color="auto"/>
              <w:right w:val="single" w:sz="4" w:space="0" w:color="auto"/>
            </w:tcBorders>
            <w:shd w:val="clear" w:color="000000" w:fill="D0CECE"/>
            <w:vAlign w:val="center"/>
            <w:hideMark/>
          </w:tcPr>
          <w:p w14:paraId="537663C8"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£m</w:t>
            </w:r>
          </w:p>
        </w:tc>
        <w:tc>
          <w:tcPr>
            <w:tcW w:w="1679" w:type="dxa"/>
            <w:tcBorders>
              <w:top w:val="nil"/>
              <w:left w:val="nil"/>
              <w:bottom w:val="single" w:sz="4" w:space="0" w:color="auto"/>
              <w:right w:val="single" w:sz="4" w:space="0" w:color="auto"/>
            </w:tcBorders>
            <w:shd w:val="clear" w:color="000000" w:fill="D0CECE"/>
            <w:vAlign w:val="center"/>
            <w:hideMark/>
          </w:tcPr>
          <w:p w14:paraId="7FDED28F" w14:textId="77777777" w:rsidR="00D10794" w:rsidRPr="00FA78A3" w:rsidRDefault="00D10794" w:rsidP="00D10794">
            <w:pPr>
              <w:spacing w:after="0"/>
              <w:jc w:val="center"/>
              <w:rPr>
                <w:rFonts w:eastAsia="Times New Roman" w:cs="Arial"/>
                <w:b/>
                <w:bCs/>
                <w:sz w:val="20"/>
                <w:szCs w:val="20"/>
                <w:lang w:eastAsia="en-GB"/>
              </w:rPr>
            </w:pPr>
            <w:r w:rsidRPr="00FA78A3">
              <w:rPr>
                <w:rFonts w:eastAsia="Times New Roman" w:cs="Arial"/>
                <w:b/>
                <w:bCs/>
                <w:sz w:val="20"/>
                <w:szCs w:val="20"/>
                <w:lang w:eastAsia="en-GB"/>
              </w:rPr>
              <w:t>£m</w:t>
            </w:r>
          </w:p>
        </w:tc>
      </w:tr>
      <w:tr w:rsidR="002F12B1" w14:paraId="5EFA4E51"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268C9170" w14:textId="77777777" w:rsidR="00D10794" w:rsidRPr="00FA78A3" w:rsidRDefault="00D10794" w:rsidP="00D10794">
            <w:pPr>
              <w:spacing w:after="0"/>
              <w:jc w:val="left"/>
              <w:rPr>
                <w:rFonts w:eastAsia="Times New Roman" w:cs="Arial"/>
                <w:sz w:val="20"/>
                <w:szCs w:val="20"/>
                <w:lang w:eastAsia="en-GB"/>
              </w:rPr>
            </w:pPr>
            <w:r w:rsidRPr="00FA78A3">
              <w:rPr>
                <w:rFonts w:eastAsia="Times New Roman" w:cs="Arial"/>
                <w:sz w:val="20"/>
                <w:szCs w:val="20"/>
                <w:lang w:eastAsia="en-GB"/>
              </w:rPr>
              <w:t>Schools (including DFC)</w:t>
            </w:r>
          </w:p>
        </w:tc>
        <w:tc>
          <w:tcPr>
            <w:tcW w:w="1679" w:type="dxa"/>
            <w:tcBorders>
              <w:top w:val="nil"/>
              <w:left w:val="nil"/>
              <w:bottom w:val="single" w:sz="4" w:space="0" w:color="auto"/>
              <w:right w:val="single" w:sz="4" w:space="0" w:color="auto"/>
            </w:tcBorders>
            <w:shd w:val="clear" w:color="auto" w:fill="auto"/>
            <w:vAlign w:val="center"/>
            <w:hideMark/>
          </w:tcPr>
          <w:p w14:paraId="79B42B7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27.089</w:t>
            </w:r>
          </w:p>
        </w:tc>
        <w:tc>
          <w:tcPr>
            <w:tcW w:w="1679" w:type="dxa"/>
            <w:tcBorders>
              <w:top w:val="nil"/>
              <w:left w:val="nil"/>
              <w:bottom w:val="single" w:sz="4" w:space="0" w:color="auto"/>
              <w:right w:val="single" w:sz="4" w:space="0" w:color="auto"/>
            </w:tcBorders>
            <w:shd w:val="clear" w:color="auto" w:fill="auto"/>
            <w:vAlign w:val="center"/>
            <w:hideMark/>
          </w:tcPr>
          <w:p w14:paraId="0FF51DE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12.119</w:t>
            </w:r>
          </w:p>
        </w:tc>
        <w:tc>
          <w:tcPr>
            <w:tcW w:w="1792" w:type="dxa"/>
            <w:tcBorders>
              <w:top w:val="nil"/>
              <w:left w:val="nil"/>
              <w:bottom w:val="single" w:sz="4" w:space="0" w:color="auto"/>
              <w:right w:val="single" w:sz="4" w:space="0" w:color="auto"/>
            </w:tcBorders>
            <w:shd w:val="clear" w:color="auto" w:fill="auto"/>
            <w:vAlign w:val="center"/>
            <w:hideMark/>
          </w:tcPr>
          <w:p w14:paraId="4989B389"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-12.326</w:t>
            </w:r>
          </w:p>
        </w:tc>
        <w:tc>
          <w:tcPr>
            <w:tcW w:w="1679" w:type="dxa"/>
            <w:tcBorders>
              <w:top w:val="nil"/>
              <w:left w:val="nil"/>
              <w:bottom w:val="single" w:sz="4" w:space="0" w:color="auto"/>
              <w:right w:val="single" w:sz="4" w:space="0" w:color="auto"/>
            </w:tcBorders>
            <w:shd w:val="clear" w:color="auto" w:fill="auto"/>
            <w:vAlign w:val="center"/>
            <w:hideMark/>
          </w:tcPr>
          <w:p w14:paraId="42B96F94"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26.882</w:t>
            </w:r>
          </w:p>
        </w:tc>
      </w:tr>
      <w:tr w:rsidR="002F12B1" w14:paraId="191FB80E"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439B5331" w14:textId="77777777" w:rsidR="00D10794" w:rsidRPr="00FA78A3" w:rsidRDefault="00D10794" w:rsidP="00D10794">
            <w:pPr>
              <w:spacing w:after="0"/>
              <w:jc w:val="left"/>
              <w:rPr>
                <w:rFonts w:eastAsia="Times New Roman" w:cs="Arial"/>
                <w:sz w:val="20"/>
                <w:szCs w:val="20"/>
                <w:lang w:eastAsia="en-GB"/>
              </w:rPr>
            </w:pPr>
            <w:r w:rsidRPr="00FA78A3">
              <w:rPr>
                <w:rFonts w:eastAsia="Times New Roman" w:cs="Arial"/>
                <w:sz w:val="20"/>
                <w:szCs w:val="20"/>
                <w:lang w:eastAsia="en-GB"/>
              </w:rPr>
              <w:t>Children and Young People</w:t>
            </w:r>
          </w:p>
        </w:tc>
        <w:tc>
          <w:tcPr>
            <w:tcW w:w="1679" w:type="dxa"/>
            <w:tcBorders>
              <w:top w:val="nil"/>
              <w:left w:val="nil"/>
              <w:bottom w:val="single" w:sz="4" w:space="0" w:color="auto"/>
              <w:right w:val="single" w:sz="4" w:space="0" w:color="auto"/>
            </w:tcBorders>
            <w:shd w:val="clear" w:color="auto" w:fill="auto"/>
            <w:vAlign w:val="center"/>
            <w:hideMark/>
          </w:tcPr>
          <w:p w14:paraId="38D34981"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4.382</w:t>
            </w:r>
          </w:p>
        </w:tc>
        <w:tc>
          <w:tcPr>
            <w:tcW w:w="1679" w:type="dxa"/>
            <w:tcBorders>
              <w:top w:val="nil"/>
              <w:left w:val="nil"/>
              <w:bottom w:val="single" w:sz="4" w:space="0" w:color="auto"/>
              <w:right w:val="single" w:sz="4" w:space="0" w:color="auto"/>
            </w:tcBorders>
            <w:shd w:val="clear" w:color="auto" w:fill="auto"/>
            <w:vAlign w:val="center"/>
            <w:hideMark/>
          </w:tcPr>
          <w:p w14:paraId="1CB7B760"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2.895</w:t>
            </w:r>
          </w:p>
        </w:tc>
        <w:tc>
          <w:tcPr>
            <w:tcW w:w="1792" w:type="dxa"/>
            <w:tcBorders>
              <w:top w:val="nil"/>
              <w:left w:val="nil"/>
              <w:bottom w:val="single" w:sz="4" w:space="0" w:color="auto"/>
              <w:right w:val="single" w:sz="4" w:space="0" w:color="auto"/>
            </w:tcBorders>
            <w:shd w:val="clear" w:color="auto" w:fill="auto"/>
            <w:vAlign w:val="center"/>
            <w:hideMark/>
          </w:tcPr>
          <w:p w14:paraId="4F02ABBA"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-5.728</w:t>
            </w:r>
          </w:p>
        </w:tc>
        <w:tc>
          <w:tcPr>
            <w:tcW w:w="1679" w:type="dxa"/>
            <w:tcBorders>
              <w:top w:val="nil"/>
              <w:left w:val="nil"/>
              <w:bottom w:val="single" w:sz="4" w:space="0" w:color="auto"/>
              <w:right w:val="single" w:sz="4" w:space="0" w:color="auto"/>
            </w:tcBorders>
            <w:shd w:val="clear" w:color="auto" w:fill="auto"/>
            <w:vAlign w:val="center"/>
            <w:hideMark/>
          </w:tcPr>
          <w:p w14:paraId="3482CDD8"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1.549</w:t>
            </w:r>
          </w:p>
        </w:tc>
      </w:tr>
      <w:tr w:rsidR="002F12B1" w14:paraId="3A9E6724"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70E4A9BB" w14:textId="77777777" w:rsidR="00D10794" w:rsidRPr="00FA78A3" w:rsidRDefault="00D10794" w:rsidP="00D10794">
            <w:pPr>
              <w:spacing w:after="0"/>
              <w:jc w:val="left"/>
              <w:rPr>
                <w:rFonts w:eastAsia="Times New Roman" w:cs="Arial"/>
                <w:sz w:val="20"/>
                <w:szCs w:val="20"/>
                <w:lang w:eastAsia="en-GB"/>
              </w:rPr>
            </w:pPr>
            <w:r w:rsidRPr="00FA78A3">
              <w:rPr>
                <w:rFonts w:eastAsia="Times New Roman" w:cs="Arial"/>
                <w:sz w:val="20"/>
                <w:szCs w:val="20"/>
                <w:lang w:eastAsia="en-GB"/>
              </w:rPr>
              <w:t>Highways</w:t>
            </w:r>
          </w:p>
        </w:tc>
        <w:tc>
          <w:tcPr>
            <w:tcW w:w="1679" w:type="dxa"/>
            <w:tcBorders>
              <w:top w:val="nil"/>
              <w:left w:val="nil"/>
              <w:bottom w:val="single" w:sz="4" w:space="0" w:color="auto"/>
              <w:right w:val="single" w:sz="4" w:space="0" w:color="auto"/>
            </w:tcBorders>
            <w:shd w:val="clear" w:color="auto" w:fill="auto"/>
            <w:vAlign w:val="center"/>
            <w:hideMark/>
          </w:tcPr>
          <w:p w14:paraId="0F505110"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40.121</w:t>
            </w:r>
          </w:p>
        </w:tc>
        <w:tc>
          <w:tcPr>
            <w:tcW w:w="1679" w:type="dxa"/>
            <w:tcBorders>
              <w:top w:val="nil"/>
              <w:left w:val="nil"/>
              <w:bottom w:val="single" w:sz="4" w:space="0" w:color="auto"/>
              <w:right w:val="single" w:sz="4" w:space="0" w:color="auto"/>
            </w:tcBorders>
            <w:shd w:val="clear" w:color="auto" w:fill="auto"/>
            <w:vAlign w:val="center"/>
            <w:hideMark/>
          </w:tcPr>
          <w:p w14:paraId="17429C78"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38.107</w:t>
            </w:r>
          </w:p>
        </w:tc>
        <w:tc>
          <w:tcPr>
            <w:tcW w:w="1792" w:type="dxa"/>
            <w:tcBorders>
              <w:top w:val="nil"/>
              <w:left w:val="nil"/>
              <w:bottom w:val="single" w:sz="4" w:space="0" w:color="auto"/>
              <w:right w:val="single" w:sz="4" w:space="0" w:color="auto"/>
            </w:tcBorders>
            <w:shd w:val="clear" w:color="auto" w:fill="auto"/>
            <w:vAlign w:val="center"/>
            <w:hideMark/>
          </w:tcPr>
          <w:p w14:paraId="71797046"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-34.365</w:t>
            </w:r>
          </w:p>
        </w:tc>
        <w:tc>
          <w:tcPr>
            <w:tcW w:w="1679" w:type="dxa"/>
            <w:tcBorders>
              <w:top w:val="nil"/>
              <w:left w:val="nil"/>
              <w:bottom w:val="single" w:sz="4" w:space="0" w:color="auto"/>
              <w:right w:val="single" w:sz="4" w:space="0" w:color="auto"/>
            </w:tcBorders>
            <w:shd w:val="clear" w:color="auto" w:fill="auto"/>
            <w:vAlign w:val="center"/>
            <w:hideMark/>
          </w:tcPr>
          <w:p w14:paraId="5AD50E9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43.863</w:t>
            </w:r>
          </w:p>
        </w:tc>
      </w:tr>
      <w:tr w:rsidR="002F12B1" w14:paraId="4DC9D777"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69E79C34" w14:textId="77777777" w:rsidR="00D10794" w:rsidRPr="00FA78A3" w:rsidRDefault="00D10794" w:rsidP="00D10794">
            <w:pPr>
              <w:spacing w:after="0"/>
              <w:jc w:val="left"/>
              <w:rPr>
                <w:rFonts w:eastAsia="Times New Roman" w:cs="Arial"/>
                <w:sz w:val="20"/>
                <w:szCs w:val="20"/>
                <w:lang w:eastAsia="en-GB"/>
              </w:rPr>
            </w:pPr>
            <w:r w:rsidRPr="00FA78A3">
              <w:rPr>
                <w:rFonts w:eastAsia="Times New Roman" w:cs="Arial"/>
                <w:sz w:val="20"/>
                <w:szCs w:val="20"/>
                <w:lang w:eastAsia="en-GB"/>
              </w:rPr>
              <w:t>Transport</w:t>
            </w:r>
          </w:p>
        </w:tc>
        <w:tc>
          <w:tcPr>
            <w:tcW w:w="1679" w:type="dxa"/>
            <w:tcBorders>
              <w:top w:val="nil"/>
              <w:left w:val="nil"/>
              <w:bottom w:val="single" w:sz="4" w:space="0" w:color="auto"/>
              <w:right w:val="single" w:sz="4" w:space="0" w:color="auto"/>
            </w:tcBorders>
            <w:shd w:val="clear" w:color="auto" w:fill="auto"/>
            <w:vAlign w:val="center"/>
            <w:hideMark/>
          </w:tcPr>
          <w:p w14:paraId="756065B5"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15.302</w:t>
            </w:r>
          </w:p>
        </w:tc>
        <w:tc>
          <w:tcPr>
            <w:tcW w:w="1679" w:type="dxa"/>
            <w:tcBorders>
              <w:top w:val="nil"/>
              <w:left w:val="nil"/>
              <w:bottom w:val="single" w:sz="4" w:space="0" w:color="auto"/>
              <w:right w:val="single" w:sz="4" w:space="0" w:color="auto"/>
            </w:tcBorders>
            <w:shd w:val="clear" w:color="auto" w:fill="auto"/>
            <w:vAlign w:val="center"/>
            <w:hideMark/>
          </w:tcPr>
          <w:p w14:paraId="0E2AC366"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6.480</w:t>
            </w:r>
          </w:p>
        </w:tc>
        <w:tc>
          <w:tcPr>
            <w:tcW w:w="1792" w:type="dxa"/>
            <w:tcBorders>
              <w:top w:val="nil"/>
              <w:left w:val="nil"/>
              <w:bottom w:val="single" w:sz="4" w:space="0" w:color="auto"/>
              <w:right w:val="single" w:sz="4" w:space="0" w:color="auto"/>
            </w:tcBorders>
            <w:shd w:val="clear" w:color="auto" w:fill="auto"/>
            <w:vAlign w:val="center"/>
            <w:hideMark/>
          </w:tcPr>
          <w:p w14:paraId="1996D03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0.561</w:t>
            </w:r>
          </w:p>
        </w:tc>
        <w:tc>
          <w:tcPr>
            <w:tcW w:w="1679" w:type="dxa"/>
            <w:tcBorders>
              <w:top w:val="nil"/>
              <w:left w:val="nil"/>
              <w:bottom w:val="single" w:sz="4" w:space="0" w:color="auto"/>
              <w:right w:val="single" w:sz="4" w:space="0" w:color="auto"/>
            </w:tcBorders>
            <w:shd w:val="clear" w:color="auto" w:fill="auto"/>
            <w:vAlign w:val="center"/>
            <w:hideMark/>
          </w:tcPr>
          <w:p w14:paraId="49BF5FC5"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22.343</w:t>
            </w:r>
          </w:p>
        </w:tc>
      </w:tr>
      <w:tr w:rsidR="002F12B1" w14:paraId="1AB10DDB"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535BD455" w14:textId="77777777" w:rsidR="00D10794" w:rsidRPr="00FA78A3" w:rsidRDefault="00D10794" w:rsidP="00D10794">
            <w:pPr>
              <w:spacing w:after="0"/>
              <w:jc w:val="left"/>
              <w:rPr>
                <w:rFonts w:eastAsia="Times New Roman" w:cs="Arial"/>
                <w:sz w:val="20"/>
                <w:szCs w:val="20"/>
                <w:lang w:eastAsia="en-GB"/>
              </w:rPr>
            </w:pPr>
            <w:r w:rsidRPr="00FA78A3">
              <w:rPr>
                <w:rFonts w:eastAsia="Times New Roman" w:cs="Arial"/>
                <w:sz w:val="20"/>
                <w:szCs w:val="20"/>
                <w:lang w:eastAsia="en-GB"/>
              </w:rPr>
              <w:t>Externally Funded Schemes</w:t>
            </w:r>
          </w:p>
        </w:tc>
        <w:tc>
          <w:tcPr>
            <w:tcW w:w="1679" w:type="dxa"/>
            <w:tcBorders>
              <w:top w:val="nil"/>
              <w:left w:val="nil"/>
              <w:bottom w:val="single" w:sz="4" w:space="0" w:color="auto"/>
              <w:right w:val="single" w:sz="4" w:space="0" w:color="auto"/>
            </w:tcBorders>
            <w:shd w:val="clear" w:color="auto" w:fill="auto"/>
            <w:vAlign w:val="center"/>
            <w:hideMark/>
          </w:tcPr>
          <w:p w14:paraId="04EDB47F"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6.574</w:t>
            </w:r>
          </w:p>
        </w:tc>
        <w:tc>
          <w:tcPr>
            <w:tcW w:w="1679" w:type="dxa"/>
            <w:tcBorders>
              <w:top w:val="nil"/>
              <w:left w:val="nil"/>
              <w:bottom w:val="single" w:sz="4" w:space="0" w:color="auto"/>
              <w:right w:val="single" w:sz="4" w:space="0" w:color="auto"/>
            </w:tcBorders>
            <w:shd w:val="clear" w:color="auto" w:fill="auto"/>
            <w:vAlign w:val="center"/>
            <w:hideMark/>
          </w:tcPr>
          <w:p w14:paraId="2E322A07"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2.107</w:t>
            </w:r>
          </w:p>
        </w:tc>
        <w:tc>
          <w:tcPr>
            <w:tcW w:w="1792" w:type="dxa"/>
            <w:tcBorders>
              <w:top w:val="nil"/>
              <w:left w:val="nil"/>
              <w:bottom w:val="single" w:sz="4" w:space="0" w:color="auto"/>
              <w:right w:val="single" w:sz="4" w:space="0" w:color="auto"/>
            </w:tcBorders>
            <w:shd w:val="clear" w:color="auto" w:fill="auto"/>
            <w:vAlign w:val="center"/>
            <w:hideMark/>
          </w:tcPr>
          <w:p w14:paraId="558329BB"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1.314</w:t>
            </w:r>
          </w:p>
        </w:tc>
        <w:tc>
          <w:tcPr>
            <w:tcW w:w="1679" w:type="dxa"/>
            <w:tcBorders>
              <w:top w:val="nil"/>
              <w:left w:val="nil"/>
              <w:bottom w:val="single" w:sz="4" w:space="0" w:color="auto"/>
              <w:right w:val="single" w:sz="4" w:space="0" w:color="auto"/>
            </w:tcBorders>
            <w:shd w:val="clear" w:color="auto" w:fill="auto"/>
            <w:vAlign w:val="center"/>
            <w:hideMark/>
          </w:tcPr>
          <w:p w14:paraId="23E4C6F3"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9.995</w:t>
            </w:r>
          </w:p>
        </w:tc>
      </w:tr>
      <w:tr w:rsidR="002F12B1" w14:paraId="7E34026A"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156D392B"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Waste and Other</w:t>
            </w:r>
          </w:p>
        </w:tc>
        <w:tc>
          <w:tcPr>
            <w:tcW w:w="1679" w:type="dxa"/>
            <w:tcBorders>
              <w:top w:val="nil"/>
              <w:left w:val="nil"/>
              <w:bottom w:val="single" w:sz="4" w:space="0" w:color="auto"/>
              <w:right w:val="single" w:sz="4" w:space="0" w:color="auto"/>
            </w:tcBorders>
            <w:shd w:val="clear" w:color="auto" w:fill="auto"/>
            <w:vAlign w:val="center"/>
            <w:hideMark/>
          </w:tcPr>
          <w:p w14:paraId="1A36D95A"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0.300</w:t>
            </w:r>
          </w:p>
        </w:tc>
        <w:tc>
          <w:tcPr>
            <w:tcW w:w="1679" w:type="dxa"/>
            <w:tcBorders>
              <w:top w:val="nil"/>
              <w:left w:val="nil"/>
              <w:bottom w:val="single" w:sz="4" w:space="0" w:color="auto"/>
              <w:right w:val="single" w:sz="4" w:space="0" w:color="auto"/>
            </w:tcBorders>
            <w:shd w:val="clear" w:color="auto" w:fill="auto"/>
            <w:vAlign w:val="center"/>
            <w:hideMark/>
          </w:tcPr>
          <w:p w14:paraId="453D040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c>
          <w:tcPr>
            <w:tcW w:w="1792" w:type="dxa"/>
            <w:tcBorders>
              <w:top w:val="nil"/>
              <w:left w:val="nil"/>
              <w:bottom w:val="single" w:sz="4" w:space="0" w:color="auto"/>
              <w:right w:val="single" w:sz="4" w:space="0" w:color="auto"/>
            </w:tcBorders>
            <w:shd w:val="clear" w:color="auto" w:fill="auto"/>
            <w:vAlign w:val="center"/>
            <w:hideMark/>
          </w:tcPr>
          <w:p w14:paraId="50D11C98"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-0.300</w:t>
            </w:r>
          </w:p>
        </w:tc>
        <w:tc>
          <w:tcPr>
            <w:tcW w:w="1679" w:type="dxa"/>
            <w:tcBorders>
              <w:top w:val="nil"/>
              <w:left w:val="nil"/>
              <w:bottom w:val="single" w:sz="4" w:space="0" w:color="auto"/>
              <w:right w:val="single" w:sz="4" w:space="0" w:color="auto"/>
            </w:tcBorders>
            <w:shd w:val="clear" w:color="auto" w:fill="auto"/>
            <w:vAlign w:val="center"/>
            <w:hideMark/>
          </w:tcPr>
          <w:p w14:paraId="0142E411"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r>
      <w:tr w:rsidR="002F12B1" w14:paraId="00C08F02"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2C4D9D16"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Adult Social Care</w:t>
            </w:r>
          </w:p>
        </w:tc>
        <w:tc>
          <w:tcPr>
            <w:tcW w:w="1679" w:type="dxa"/>
            <w:tcBorders>
              <w:top w:val="nil"/>
              <w:left w:val="nil"/>
              <w:bottom w:val="single" w:sz="4" w:space="0" w:color="auto"/>
              <w:right w:val="single" w:sz="4" w:space="0" w:color="auto"/>
            </w:tcBorders>
            <w:shd w:val="clear" w:color="auto" w:fill="auto"/>
            <w:vAlign w:val="center"/>
            <w:hideMark/>
          </w:tcPr>
          <w:p w14:paraId="38902EAF"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16.231</w:t>
            </w:r>
          </w:p>
        </w:tc>
        <w:tc>
          <w:tcPr>
            <w:tcW w:w="1679" w:type="dxa"/>
            <w:tcBorders>
              <w:top w:val="nil"/>
              <w:left w:val="nil"/>
              <w:bottom w:val="single" w:sz="4" w:space="0" w:color="auto"/>
              <w:right w:val="single" w:sz="4" w:space="0" w:color="auto"/>
            </w:tcBorders>
            <w:shd w:val="clear" w:color="auto" w:fill="auto"/>
            <w:vAlign w:val="center"/>
            <w:hideMark/>
          </w:tcPr>
          <w:p w14:paraId="0E5BB350"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1.984</w:t>
            </w:r>
          </w:p>
        </w:tc>
        <w:tc>
          <w:tcPr>
            <w:tcW w:w="1792" w:type="dxa"/>
            <w:tcBorders>
              <w:top w:val="nil"/>
              <w:left w:val="nil"/>
              <w:bottom w:val="single" w:sz="4" w:space="0" w:color="auto"/>
              <w:right w:val="single" w:sz="4" w:space="0" w:color="auto"/>
            </w:tcBorders>
            <w:shd w:val="clear" w:color="auto" w:fill="auto"/>
            <w:vAlign w:val="center"/>
            <w:hideMark/>
          </w:tcPr>
          <w:p w14:paraId="6EFABF54"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0.757</w:t>
            </w:r>
          </w:p>
        </w:tc>
        <w:tc>
          <w:tcPr>
            <w:tcW w:w="1679" w:type="dxa"/>
            <w:tcBorders>
              <w:top w:val="nil"/>
              <w:left w:val="nil"/>
              <w:bottom w:val="single" w:sz="4" w:space="0" w:color="auto"/>
              <w:right w:val="single" w:sz="4" w:space="0" w:color="auto"/>
            </w:tcBorders>
            <w:shd w:val="clear" w:color="auto" w:fill="auto"/>
            <w:vAlign w:val="center"/>
            <w:hideMark/>
          </w:tcPr>
          <w:p w14:paraId="248AED5B"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18.972</w:t>
            </w:r>
          </w:p>
        </w:tc>
      </w:tr>
      <w:tr w:rsidR="002F12B1" w14:paraId="24AFCCAB"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763AF61F"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Corporate</w:t>
            </w:r>
          </w:p>
        </w:tc>
        <w:tc>
          <w:tcPr>
            <w:tcW w:w="1679" w:type="dxa"/>
            <w:tcBorders>
              <w:top w:val="nil"/>
              <w:left w:val="nil"/>
              <w:bottom w:val="single" w:sz="4" w:space="0" w:color="auto"/>
              <w:right w:val="single" w:sz="4" w:space="0" w:color="auto"/>
            </w:tcBorders>
            <w:shd w:val="clear" w:color="auto" w:fill="auto"/>
            <w:vAlign w:val="center"/>
            <w:hideMark/>
          </w:tcPr>
          <w:p w14:paraId="4F00FE85"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19.243</w:t>
            </w:r>
          </w:p>
        </w:tc>
        <w:tc>
          <w:tcPr>
            <w:tcW w:w="1679" w:type="dxa"/>
            <w:tcBorders>
              <w:top w:val="nil"/>
              <w:left w:val="nil"/>
              <w:bottom w:val="single" w:sz="4" w:space="0" w:color="auto"/>
              <w:right w:val="single" w:sz="4" w:space="0" w:color="auto"/>
            </w:tcBorders>
            <w:shd w:val="clear" w:color="auto" w:fill="auto"/>
            <w:vAlign w:val="center"/>
            <w:hideMark/>
          </w:tcPr>
          <w:p w14:paraId="7431120D"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20.361</w:t>
            </w:r>
          </w:p>
        </w:tc>
        <w:tc>
          <w:tcPr>
            <w:tcW w:w="1792" w:type="dxa"/>
            <w:tcBorders>
              <w:top w:val="nil"/>
              <w:left w:val="nil"/>
              <w:bottom w:val="single" w:sz="4" w:space="0" w:color="auto"/>
              <w:right w:val="single" w:sz="4" w:space="0" w:color="auto"/>
            </w:tcBorders>
            <w:shd w:val="clear" w:color="auto" w:fill="auto"/>
            <w:vAlign w:val="center"/>
            <w:hideMark/>
          </w:tcPr>
          <w:p w14:paraId="198E5F7B"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-20.851</w:t>
            </w:r>
          </w:p>
        </w:tc>
        <w:tc>
          <w:tcPr>
            <w:tcW w:w="1679" w:type="dxa"/>
            <w:tcBorders>
              <w:top w:val="nil"/>
              <w:left w:val="nil"/>
              <w:bottom w:val="single" w:sz="4" w:space="0" w:color="auto"/>
              <w:right w:val="single" w:sz="4" w:space="0" w:color="auto"/>
            </w:tcBorders>
            <w:shd w:val="clear" w:color="auto" w:fill="auto"/>
            <w:vAlign w:val="center"/>
            <w:hideMark/>
          </w:tcPr>
          <w:p w14:paraId="05F1B4C0"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18.753</w:t>
            </w:r>
          </w:p>
        </w:tc>
      </w:tr>
      <w:tr w:rsidR="002F12B1" w14:paraId="793D4AA9"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074B8854"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Economic Development</w:t>
            </w:r>
          </w:p>
        </w:tc>
        <w:tc>
          <w:tcPr>
            <w:tcW w:w="1679" w:type="dxa"/>
            <w:tcBorders>
              <w:top w:val="nil"/>
              <w:left w:val="nil"/>
              <w:bottom w:val="single" w:sz="4" w:space="0" w:color="auto"/>
              <w:right w:val="single" w:sz="4" w:space="0" w:color="auto"/>
            </w:tcBorders>
            <w:shd w:val="clear" w:color="auto" w:fill="auto"/>
            <w:vAlign w:val="center"/>
            <w:hideMark/>
          </w:tcPr>
          <w:p w14:paraId="77B9A793"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c>
          <w:tcPr>
            <w:tcW w:w="1679" w:type="dxa"/>
            <w:tcBorders>
              <w:top w:val="nil"/>
              <w:left w:val="nil"/>
              <w:bottom w:val="single" w:sz="4" w:space="0" w:color="auto"/>
              <w:right w:val="single" w:sz="4" w:space="0" w:color="auto"/>
            </w:tcBorders>
            <w:shd w:val="clear" w:color="auto" w:fill="auto"/>
            <w:vAlign w:val="center"/>
            <w:hideMark/>
          </w:tcPr>
          <w:p w14:paraId="285EA0E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c>
          <w:tcPr>
            <w:tcW w:w="1792" w:type="dxa"/>
            <w:tcBorders>
              <w:top w:val="nil"/>
              <w:left w:val="nil"/>
              <w:bottom w:val="single" w:sz="4" w:space="0" w:color="auto"/>
              <w:right w:val="single" w:sz="4" w:space="0" w:color="auto"/>
            </w:tcBorders>
            <w:shd w:val="clear" w:color="auto" w:fill="auto"/>
            <w:vAlign w:val="center"/>
            <w:hideMark/>
          </w:tcPr>
          <w:p w14:paraId="51505493"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9.203</w:t>
            </w:r>
          </w:p>
        </w:tc>
        <w:tc>
          <w:tcPr>
            <w:tcW w:w="1679" w:type="dxa"/>
            <w:tcBorders>
              <w:top w:val="nil"/>
              <w:left w:val="nil"/>
              <w:bottom w:val="single" w:sz="4" w:space="0" w:color="auto"/>
              <w:right w:val="single" w:sz="4" w:space="0" w:color="auto"/>
            </w:tcBorders>
            <w:shd w:val="clear" w:color="auto" w:fill="auto"/>
            <w:vAlign w:val="center"/>
            <w:hideMark/>
          </w:tcPr>
          <w:p w14:paraId="11C97940"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9.203</w:t>
            </w:r>
          </w:p>
        </w:tc>
      </w:tr>
      <w:tr w:rsidR="002F12B1" w14:paraId="4C0CF7F6"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3F66415C"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Vehicles</w:t>
            </w:r>
          </w:p>
        </w:tc>
        <w:tc>
          <w:tcPr>
            <w:tcW w:w="1679" w:type="dxa"/>
            <w:tcBorders>
              <w:top w:val="nil"/>
              <w:left w:val="nil"/>
              <w:bottom w:val="single" w:sz="4" w:space="0" w:color="auto"/>
              <w:right w:val="single" w:sz="4" w:space="0" w:color="auto"/>
            </w:tcBorders>
            <w:shd w:val="clear" w:color="auto" w:fill="auto"/>
            <w:vAlign w:val="center"/>
            <w:hideMark/>
          </w:tcPr>
          <w:p w14:paraId="50E64BF3"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4.600</w:t>
            </w:r>
          </w:p>
        </w:tc>
        <w:tc>
          <w:tcPr>
            <w:tcW w:w="1679" w:type="dxa"/>
            <w:tcBorders>
              <w:top w:val="nil"/>
              <w:left w:val="nil"/>
              <w:bottom w:val="single" w:sz="4" w:space="0" w:color="auto"/>
              <w:right w:val="single" w:sz="4" w:space="0" w:color="auto"/>
            </w:tcBorders>
            <w:shd w:val="clear" w:color="auto" w:fill="auto"/>
            <w:vAlign w:val="center"/>
            <w:hideMark/>
          </w:tcPr>
          <w:p w14:paraId="2DFC87D7"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c>
          <w:tcPr>
            <w:tcW w:w="1792" w:type="dxa"/>
            <w:tcBorders>
              <w:top w:val="nil"/>
              <w:left w:val="nil"/>
              <w:bottom w:val="single" w:sz="4" w:space="0" w:color="auto"/>
              <w:right w:val="single" w:sz="4" w:space="0" w:color="auto"/>
            </w:tcBorders>
            <w:shd w:val="clear" w:color="auto" w:fill="auto"/>
            <w:vAlign w:val="center"/>
            <w:hideMark/>
          </w:tcPr>
          <w:p w14:paraId="4BF3FF6C"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0.324</w:t>
            </w:r>
          </w:p>
        </w:tc>
        <w:tc>
          <w:tcPr>
            <w:tcW w:w="1679" w:type="dxa"/>
            <w:tcBorders>
              <w:top w:val="nil"/>
              <w:left w:val="nil"/>
              <w:bottom w:val="single" w:sz="4" w:space="0" w:color="auto"/>
              <w:right w:val="single" w:sz="4" w:space="0" w:color="auto"/>
            </w:tcBorders>
            <w:shd w:val="clear" w:color="auto" w:fill="auto"/>
            <w:vAlign w:val="center"/>
            <w:hideMark/>
          </w:tcPr>
          <w:p w14:paraId="6A9AB48A"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4.924</w:t>
            </w:r>
          </w:p>
        </w:tc>
      </w:tr>
      <w:tr w:rsidR="002F12B1" w14:paraId="0A257C47"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28916C70" w14:textId="77777777" w:rsidR="00D10794" w:rsidRPr="00FA78A3" w:rsidRDefault="00D10794" w:rsidP="00D10794">
            <w:pPr>
              <w:spacing w:after="0"/>
              <w:rPr>
                <w:rFonts w:eastAsia="Times New Roman" w:cs="Arial"/>
                <w:sz w:val="20"/>
                <w:szCs w:val="20"/>
                <w:lang w:eastAsia="en-GB"/>
              </w:rPr>
            </w:pPr>
            <w:r w:rsidRPr="00FA78A3">
              <w:rPr>
                <w:rFonts w:eastAsia="Times New Roman" w:cs="Arial"/>
                <w:sz w:val="20"/>
                <w:szCs w:val="20"/>
                <w:lang w:eastAsia="en-GB"/>
              </w:rPr>
              <w:t>Transforming Cities Fund</w:t>
            </w:r>
          </w:p>
        </w:tc>
        <w:tc>
          <w:tcPr>
            <w:tcW w:w="1679" w:type="dxa"/>
            <w:tcBorders>
              <w:top w:val="nil"/>
              <w:left w:val="nil"/>
              <w:bottom w:val="single" w:sz="4" w:space="0" w:color="auto"/>
              <w:right w:val="single" w:sz="4" w:space="0" w:color="auto"/>
            </w:tcBorders>
            <w:shd w:val="clear" w:color="auto" w:fill="auto"/>
            <w:vAlign w:val="center"/>
            <w:hideMark/>
          </w:tcPr>
          <w:p w14:paraId="6DF9D6E2"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0.000</w:t>
            </w:r>
          </w:p>
        </w:tc>
        <w:tc>
          <w:tcPr>
            <w:tcW w:w="1679" w:type="dxa"/>
            <w:tcBorders>
              <w:top w:val="nil"/>
              <w:left w:val="nil"/>
              <w:bottom w:val="single" w:sz="4" w:space="0" w:color="auto"/>
              <w:right w:val="single" w:sz="4" w:space="0" w:color="auto"/>
            </w:tcBorders>
            <w:shd w:val="clear" w:color="auto" w:fill="auto"/>
            <w:vAlign w:val="center"/>
            <w:hideMark/>
          </w:tcPr>
          <w:p w14:paraId="24B57FE8"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4.600</w:t>
            </w:r>
          </w:p>
        </w:tc>
        <w:tc>
          <w:tcPr>
            <w:tcW w:w="1792" w:type="dxa"/>
            <w:tcBorders>
              <w:top w:val="nil"/>
              <w:left w:val="nil"/>
              <w:bottom w:val="single" w:sz="4" w:space="0" w:color="auto"/>
              <w:right w:val="single" w:sz="4" w:space="0" w:color="auto"/>
            </w:tcBorders>
            <w:shd w:val="clear" w:color="auto" w:fill="auto"/>
            <w:vAlign w:val="center"/>
            <w:hideMark/>
          </w:tcPr>
          <w:p w14:paraId="61F8BF05"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-0.664</w:t>
            </w:r>
          </w:p>
        </w:tc>
        <w:tc>
          <w:tcPr>
            <w:tcW w:w="1679" w:type="dxa"/>
            <w:tcBorders>
              <w:top w:val="nil"/>
              <w:left w:val="nil"/>
              <w:bottom w:val="single" w:sz="4" w:space="0" w:color="auto"/>
              <w:right w:val="single" w:sz="4" w:space="0" w:color="auto"/>
            </w:tcBorders>
            <w:shd w:val="clear" w:color="auto" w:fill="auto"/>
            <w:vAlign w:val="center"/>
            <w:hideMark/>
          </w:tcPr>
          <w:p w14:paraId="1EC5178F" w14:textId="77777777" w:rsidR="00D10794" w:rsidRPr="00FA78A3" w:rsidRDefault="00D10794" w:rsidP="00D10794">
            <w:pPr>
              <w:spacing w:after="0"/>
              <w:jc w:val="right"/>
              <w:rPr>
                <w:rFonts w:eastAsia="Times New Roman" w:cs="Arial"/>
                <w:sz w:val="20"/>
                <w:szCs w:val="20"/>
                <w:lang w:eastAsia="en-GB"/>
              </w:rPr>
            </w:pPr>
            <w:r w:rsidRPr="00FA78A3">
              <w:rPr>
                <w:rFonts w:eastAsia="Times New Roman" w:cs="Arial"/>
                <w:sz w:val="20"/>
                <w:szCs w:val="20"/>
                <w:lang w:eastAsia="en-GB"/>
              </w:rPr>
              <w:t>3.936</w:t>
            </w:r>
          </w:p>
        </w:tc>
      </w:tr>
      <w:tr w:rsidR="002F12B1" w14:paraId="290F1E87" w14:textId="77777777" w:rsidTr="00D10794">
        <w:trPr>
          <w:trHeight w:val="389"/>
        </w:trPr>
        <w:tc>
          <w:tcPr>
            <w:tcW w:w="2679" w:type="dxa"/>
            <w:tcBorders>
              <w:top w:val="nil"/>
              <w:left w:val="single" w:sz="4" w:space="0" w:color="auto"/>
              <w:bottom w:val="single" w:sz="4" w:space="0" w:color="auto"/>
              <w:right w:val="single" w:sz="4" w:space="0" w:color="auto"/>
            </w:tcBorders>
            <w:shd w:val="clear" w:color="auto" w:fill="auto"/>
            <w:vAlign w:val="center"/>
            <w:hideMark/>
          </w:tcPr>
          <w:p w14:paraId="5B1D7387" w14:textId="77777777" w:rsidR="00D10794" w:rsidRPr="00FA78A3" w:rsidRDefault="00D10794" w:rsidP="00D10794">
            <w:pPr>
              <w:spacing w:after="0"/>
              <w:rPr>
                <w:rFonts w:eastAsia="Times New Roman" w:cs="Arial"/>
                <w:b/>
                <w:bCs/>
                <w:sz w:val="20"/>
                <w:szCs w:val="20"/>
                <w:lang w:eastAsia="en-GB"/>
              </w:rPr>
            </w:pPr>
            <w:r w:rsidRPr="00FA78A3">
              <w:rPr>
                <w:rFonts w:eastAsia="Times New Roman" w:cs="Arial"/>
                <w:b/>
                <w:bCs/>
                <w:sz w:val="20"/>
                <w:szCs w:val="20"/>
                <w:lang w:eastAsia="en-GB"/>
              </w:rPr>
              <w:t>Grand Total</w:t>
            </w:r>
          </w:p>
        </w:tc>
        <w:tc>
          <w:tcPr>
            <w:tcW w:w="1679" w:type="dxa"/>
            <w:tcBorders>
              <w:top w:val="nil"/>
              <w:left w:val="nil"/>
              <w:bottom w:val="single" w:sz="4" w:space="0" w:color="auto"/>
              <w:right w:val="single" w:sz="4" w:space="0" w:color="auto"/>
            </w:tcBorders>
            <w:shd w:val="clear" w:color="auto" w:fill="auto"/>
            <w:vAlign w:val="center"/>
            <w:hideMark/>
          </w:tcPr>
          <w:p w14:paraId="13E5E3AD" w14:textId="77777777" w:rsidR="00D10794" w:rsidRPr="00FA78A3" w:rsidRDefault="00D10794" w:rsidP="00D10794">
            <w:pPr>
              <w:spacing w:after="0"/>
              <w:jc w:val="right"/>
              <w:rPr>
                <w:rFonts w:eastAsia="Times New Roman" w:cs="Arial"/>
                <w:b/>
                <w:bCs/>
                <w:sz w:val="20"/>
                <w:szCs w:val="20"/>
                <w:lang w:eastAsia="en-GB"/>
              </w:rPr>
            </w:pPr>
            <w:r w:rsidRPr="00FA78A3">
              <w:rPr>
                <w:rFonts w:eastAsia="Times New Roman" w:cs="Arial"/>
                <w:b/>
                <w:bCs/>
                <w:sz w:val="20"/>
                <w:szCs w:val="20"/>
                <w:lang w:eastAsia="en-GB"/>
              </w:rPr>
              <w:t>133.842</w:t>
            </w:r>
          </w:p>
        </w:tc>
        <w:tc>
          <w:tcPr>
            <w:tcW w:w="1679" w:type="dxa"/>
            <w:tcBorders>
              <w:top w:val="nil"/>
              <w:left w:val="nil"/>
              <w:bottom w:val="single" w:sz="4" w:space="0" w:color="auto"/>
              <w:right w:val="single" w:sz="4" w:space="0" w:color="auto"/>
            </w:tcBorders>
            <w:shd w:val="clear" w:color="auto" w:fill="auto"/>
            <w:vAlign w:val="center"/>
            <w:hideMark/>
          </w:tcPr>
          <w:p w14:paraId="755C3152" w14:textId="77777777" w:rsidR="00D10794" w:rsidRPr="00FA78A3" w:rsidRDefault="00D10794" w:rsidP="00D10794">
            <w:pPr>
              <w:spacing w:after="0"/>
              <w:jc w:val="right"/>
              <w:rPr>
                <w:rFonts w:eastAsia="Times New Roman" w:cs="Arial"/>
                <w:b/>
                <w:bCs/>
                <w:sz w:val="20"/>
                <w:szCs w:val="20"/>
                <w:lang w:eastAsia="en-GB"/>
              </w:rPr>
            </w:pPr>
            <w:r w:rsidRPr="00FA78A3">
              <w:rPr>
                <w:rFonts w:eastAsia="Times New Roman" w:cs="Arial"/>
                <w:b/>
                <w:bCs/>
                <w:sz w:val="20"/>
                <w:szCs w:val="20"/>
                <w:lang w:eastAsia="en-GB"/>
              </w:rPr>
              <w:t>88.653</w:t>
            </w:r>
          </w:p>
        </w:tc>
        <w:tc>
          <w:tcPr>
            <w:tcW w:w="1792" w:type="dxa"/>
            <w:tcBorders>
              <w:top w:val="nil"/>
              <w:left w:val="nil"/>
              <w:bottom w:val="single" w:sz="4" w:space="0" w:color="auto"/>
              <w:right w:val="single" w:sz="4" w:space="0" w:color="auto"/>
            </w:tcBorders>
            <w:shd w:val="clear" w:color="auto" w:fill="auto"/>
            <w:vAlign w:val="center"/>
            <w:hideMark/>
          </w:tcPr>
          <w:p w14:paraId="6CDD0FF2" w14:textId="77777777" w:rsidR="00D10794" w:rsidRPr="00FA78A3" w:rsidRDefault="00D10794" w:rsidP="00D10794">
            <w:pPr>
              <w:spacing w:after="0"/>
              <w:jc w:val="right"/>
              <w:rPr>
                <w:rFonts w:eastAsia="Times New Roman" w:cs="Arial"/>
                <w:b/>
                <w:bCs/>
                <w:sz w:val="20"/>
                <w:szCs w:val="20"/>
                <w:lang w:eastAsia="en-GB"/>
              </w:rPr>
            </w:pPr>
            <w:r w:rsidRPr="00FA78A3">
              <w:rPr>
                <w:rFonts w:eastAsia="Times New Roman" w:cs="Arial"/>
                <w:b/>
                <w:bCs/>
                <w:sz w:val="20"/>
                <w:szCs w:val="20"/>
                <w:lang w:eastAsia="en-GB"/>
              </w:rPr>
              <w:t>-62.075</w:t>
            </w:r>
          </w:p>
        </w:tc>
        <w:tc>
          <w:tcPr>
            <w:tcW w:w="1679" w:type="dxa"/>
            <w:tcBorders>
              <w:top w:val="nil"/>
              <w:left w:val="nil"/>
              <w:bottom w:val="single" w:sz="4" w:space="0" w:color="auto"/>
              <w:right w:val="single" w:sz="4" w:space="0" w:color="auto"/>
            </w:tcBorders>
            <w:shd w:val="clear" w:color="auto" w:fill="auto"/>
            <w:vAlign w:val="center"/>
            <w:hideMark/>
          </w:tcPr>
          <w:p w14:paraId="77B9AC2C" w14:textId="77777777" w:rsidR="00D10794" w:rsidRPr="00FA78A3" w:rsidRDefault="00D10794" w:rsidP="00D10794">
            <w:pPr>
              <w:spacing w:after="0"/>
              <w:jc w:val="right"/>
              <w:rPr>
                <w:rFonts w:eastAsia="Times New Roman" w:cs="Arial"/>
                <w:b/>
                <w:bCs/>
                <w:sz w:val="20"/>
                <w:szCs w:val="20"/>
                <w:lang w:eastAsia="en-GB"/>
              </w:rPr>
            </w:pPr>
            <w:r w:rsidRPr="00FA78A3">
              <w:rPr>
                <w:rFonts w:eastAsia="Times New Roman" w:cs="Arial"/>
                <w:b/>
                <w:bCs/>
                <w:sz w:val="20"/>
                <w:szCs w:val="20"/>
                <w:lang w:eastAsia="en-GB"/>
              </w:rPr>
              <w:t>160.420</w:t>
            </w:r>
          </w:p>
        </w:tc>
      </w:tr>
    </w:tbl>
    <w:p w14:paraId="4412F556" w14:textId="77777777" w:rsidR="00D10794" w:rsidRDefault="00D10794" w:rsidP="00D10794"/>
    <w:p w14:paraId="265ACB58" w14:textId="77777777" w:rsidR="00D10794" w:rsidRDefault="00D10794" w:rsidP="00D10794"/>
    <w:p w14:paraId="0437C66A" w14:textId="77777777" w:rsidR="00D10794" w:rsidRDefault="00D10794" w:rsidP="00D10794"/>
    <w:p w14:paraId="6AC38302" w14:textId="77777777" w:rsidR="00D10794" w:rsidRDefault="00D10794" w:rsidP="00D10794"/>
    <w:p w14:paraId="6985CDE6" w14:textId="77777777" w:rsidR="00D10794" w:rsidRDefault="00D10794" w:rsidP="00D10794"/>
    <w:p w14:paraId="4D38D927" w14:textId="77777777" w:rsidR="00D10794" w:rsidRDefault="00D10794" w:rsidP="00D10794"/>
    <w:p w14:paraId="18EF9CE4" w14:textId="77777777" w:rsidR="00D10794" w:rsidRDefault="00D10794" w:rsidP="00D10794"/>
    <w:p w14:paraId="3B6283A3" w14:textId="77777777" w:rsidR="00D10794" w:rsidRDefault="00D10794" w:rsidP="00D10794"/>
    <w:p w14:paraId="4D60CF84" w14:textId="77777777" w:rsidR="00D10794" w:rsidRDefault="00D10794" w:rsidP="00D10794"/>
    <w:p w14:paraId="1605E9DA" w14:textId="77777777" w:rsidR="00D10794" w:rsidRDefault="00D10794" w:rsidP="00D10794"/>
    <w:p w14:paraId="7BE8FD13" w14:textId="77777777" w:rsidR="00D10794" w:rsidRDefault="00D10794" w:rsidP="00D10794"/>
    <w:p w14:paraId="3441BA8A" w14:textId="77777777" w:rsidR="00D10794" w:rsidRDefault="00D10794" w:rsidP="00D10794"/>
    <w:p w14:paraId="589E04B1" w14:textId="77777777" w:rsidR="00D10794" w:rsidRDefault="00D10794" w:rsidP="00D10794"/>
    <w:p w14:paraId="4126DBDC" w14:textId="77777777" w:rsidR="00D10794" w:rsidRDefault="00D10794" w:rsidP="00D10794"/>
    <w:p w14:paraId="0ACD4D6F" w14:textId="77777777" w:rsidR="00D10794" w:rsidRDefault="00D10794" w:rsidP="00D10794"/>
    <w:p w14:paraId="01204BE2" w14:textId="77777777" w:rsidR="00D10794" w:rsidRDefault="00D10794" w:rsidP="00D10794"/>
    <w:p w14:paraId="4F0BC530" w14:textId="77777777" w:rsidR="00D10794" w:rsidRPr="000A7DC4" w:rsidRDefault="00D10794" w:rsidP="00D10794">
      <w:pPr>
        <w:pStyle w:val="ListParagraph"/>
        <w:numPr>
          <w:ilvl w:val="0"/>
          <w:numId w:val="31"/>
        </w:numPr>
        <w:autoSpaceDE/>
        <w:autoSpaceDN/>
        <w:adjustRightInd/>
        <w:spacing w:after="160" w:line="259" w:lineRule="auto"/>
        <w:jc w:val="left"/>
        <w:rPr>
          <w:rFonts w:cstheme="minorHAnsi"/>
          <w:b/>
          <w:color w:val="000000" w:themeColor="text1"/>
        </w:rPr>
      </w:pPr>
      <w:r w:rsidRPr="000A7DC4">
        <w:rPr>
          <w:rFonts w:cstheme="minorHAnsi"/>
          <w:b/>
          <w:color w:val="000000" w:themeColor="text1"/>
        </w:rPr>
        <w:t>Variance Analysis</w:t>
      </w:r>
    </w:p>
    <w:p w14:paraId="1198A319" w14:textId="0073C13E" w:rsidR="00D10794" w:rsidRPr="00950AAA" w:rsidRDefault="00D10794" w:rsidP="00D10794">
      <w:pPr>
        <w:rPr>
          <w:rFonts w:cstheme="minorHAnsi"/>
          <w:color w:val="000000" w:themeColor="text1"/>
        </w:rPr>
      </w:pPr>
      <w:r w:rsidRPr="00CE0F3D">
        <w:rPr>
          <w:rFonts w:cstheme="minorHAnsi"/>
          <w:color w:val="000000" w:themeColor="text1"/>
        </w:rPr>
        <w:t xml:space="preserve">The </w:t>
      </w:r>
      <w:r>
        <w:rPr>
          <w:rFonts w:cstheme="minorHAnsi"/>
          <w:color w:val="000000" w:themeColor="text1"/>
        </w:rPr>
        <w:t>final</w:t>
      </w:r>
      <w:r w:rsidRPr="00CE0F3D">
        <w:rPr>
          <w:rFonts w:cstheme="minorHAnsi"/>
          <w:color w:val="000000" w:themeColor="text1"/>
        </w:rPr>
        <w:t xml:space="preserve"> outturn variance for the financial year 2020/21 is -£32.610m. A breakdown of the variance to block level is shown in table 2 below.</w:t>
      </w:r>
    </w:p>
    <w:p w14:paraId="653DB683" w14:textId="77777777" w:rsidR="00D10794" w:rsidRDefault="00D10794" w:rsidP="00D10794">
      <w:pPr>
        <w:rPr>
          <w:rFonts w:cstheme="minorHAnsi"/>
          <w:b/>
        </w:rPr>
      </w:pPr>
    </w:p>
    <w:p w14:paraId="27B5C129" w14:textId="676D4004" w:rsidR="00D10794" w:rsidRPr="00950AAA" w:rsidRDefault="00D10794" w:rsidP="00D10794">
      <w:pPr>
        <w:rPr>
          <w:rFonts w:cstheme="minorHAnsi"/>
          <w:b/>
        </w:rPr>
      </w:pPr>
      <w:r w:rsidRPr="000E6AAB">
        <w:rPr>
          <w:rFonts w:cstheme="minorHAnsi"/>
          <w:b/>
        </w:rPr>
        <w:t>Table 2 – Summary Capital Delivery programme outturn position 2020/21</w:t>
      </w:r>
    </w:p>
    <w:tbl>
      <w:tblPr>
        <w:tblW w:w="9139" w:type="dxa"/>
        <w:tblLook w:val="04A0" w:firstRow="1" w:lastRow="0" w:firstColumn="1" w:lastColumn="0" w:noHBand="0" w:noVBand="1"/>
      </w:tblPr>
      <w:tblGrid>
        <w:gridCol w:w="3530"/>
        <w:gridCol w:w="1802"/>
        <w:gridCol w:w="1801"/>
        <w:gridCol w:w="1823"/>
        <w:gridCol w:w="222"/>
      </w:tblGrid>
      <w:tr w:rsidR="002F12B1" w14:paraId="3087BE38" w14:textId="77777777" w:rsidTr="00D10794">
        <w:trPr>
          <w:gridAfter w:val="1"/>
          <w:wAfter w:w="183" w:type="dxa"/>
          <w:trHeight w:val="450"/>
        </w:trPr>
        <w:tc>
          <w:tcPr>
            <w:tcW w:w="353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2C01BE3"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Service Area</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FA8CB6"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Total delivery programme for 2020/21</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F4F345" w14:textId="77777777" w:rsidR="00D10794" w:rsidRPr="001774DC" w:rsidRDefault="00D10794" w:rsidP="00D10794">
            <w:pPr>
              <w:spacing w:after="0"/>
              <w:jc w:val="center"/>
              <w:rPr>
                <w:rFonts w:eastAsia="Times New Roman" w:cs="Arial"/>
                <w:b/>
                <w:bCs/>
                <w:sz w:val="20"/>
                <w:szCs w:val="20"/>
                <w:lang w:eastAsia="en-GB"/>
              </w:rPr>
            </w:pPr>
            <w:proofErr w:type="spellStart"/>
            <w:r w:rsidRPr="001774DC">
              <w:rPr>
                <w:rFonts w:eastAsia="Times New Roman" w:cs="Arial"/>
                <w:b/>
                <w:bCs/>
                <w:sz w:val="20"/>
                <w:szCs w:val="20"/>
                <w:lang w:eastAsia="en-GB"/>
              </w:rPr>
              <w:t>Year end</w:t>
            </w:r>
            <w:proofErr w:type="spellEnd"/>
            <w:r w:rsidRPr="001774DC">
              <w:rPr>
                <w:rFonts w:eastAsia="Times New Roman" w:cs="Arial"/>
                <w:b/>
                <w:bCs/>
                <w:sz w:val="20"/>
                <w:szCs w:val="20"/>
                <w:lang w:eastAsia="en-GB"/>
              </w:rPr>
              <w:t xml:space="preserve"> outturn</w:t>
            </w:r>
          </w:p>
        </w:tc>
        <w:tc>
          <w:tcPr>
            <w:tcW w:w="182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C255DAF"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Variance</w:t>
            </w:r>
          </w:p>
        </w:tc>
      </w:tr>
      <w:tr w:rsidR="002F12B1" w14:paraId="0595305B" w14:textId="77777777" w:rsidTr="00D10794">
        <w:trPr>
          <w:trHeight w:val="641"/>
        </w:trPr>
        <w:tc>
          <w:tcPr>
            <w:tcW w:w="3530" w:type="dxa"/>
            <w:vMerge/>
            <w:tcBorders>
              <w:top w:val="single" w:sz="4" w:space="0" w:color="auto"/>
              <w:left w:val="single" w:sz="4" w:space="0" w:color="auto"/>
              <w:bottom w:val="single" w:sz="4" w:space="0" w:color="000000"/>
              <w:right w:val="single" w:sz="4" w:space="0" w:color="auto"/>
            </w:tcBorders>
            <w:vAlign w:val="center"/>
            <w:hideMark/>
          </w:tcPr>
          <w:p w14:paraId="6299344C" w14:textId="77777777" w:rsidR="00D10794" w:rsidRPr="001774DC" w:rsidRDefault="00D10794" w:rsidP="00D10794">
            <w:pPr>
              <w:spacing w:after="0"/>
              <w:rPr>
                <w:rFonts w:eastAsia="Times New Roman" w:cs="Arial"/>
                <w:b/>
                <w:bCs/>
                <w:sz w:val="20"/>
                <w:szCs w:val="20"/>
                <w:lang w:eastAsia="en-GB"/>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2A782C2A" w14:textId="77777777" w:rsidR="00D10794" w:rsidRPr="001774DC" w:rsidRDefault="00D10794" w:rsidP="00D10794">
            <w:pPr>
              <w:spacing w:after="0"/>
              <w:rPr>
                <w:rFonts w:eastAsia="Times New Roman" w:cs="Arial"/>
                <w:b/>
                <w:bCs/>
                <w:sz w:val="20"/>
                <w:szCs w:val="20"/>
                <w:lang w:eastAsia="en-GB"/>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5F4317F4" w14:textId="77777777" w:rsidR="00D10794" w:rsidRPr="001774DC" w:rsidRDefault="00D10794" w:rsidP="00D10794">
            <w:pPr>
              <w:spacing w:after="0"/>
              <w:rPr>
                <w:rFonts w:eastAsia="Times New Roman" w:cs="Arial"/>
                <w:b/>
                <w:bCs/>
                <w:sz w:val="20"/>
                <w:szCs w:val="20"/>
                <w:lang w:eastAsia="en-GB"/>
              </w:rPr>
            </w:pPr>
          </w:p>
        </w:tc>
        <w:tc>
          <w:tcPr>
            <w:tcW w:w="1823" w:type="dxa"/>
            <w:vMerge/>
            <w:tcBorders>
              <w:top w:val="single" w:sz="4" w:space="0" w:color="auto"/>
              <w:left w:val="single" w:sz="4" w:space="0" w:color="auto"/>
              <w:bottom w:val="single" w:sz="4" w:space="0" w:color="000000"/>
              <w:right w:val="single" w:sz="4" w:space="0" w:color="auto"/>
            </w:tcBorders>
            <w:vAlign w:val="center"/>
            <w:hideMark/>
          </w:tcPr>
          <w:p w14:paraId="2BFADD88" w14:textId="77777777" w:rsidR="00D10794" w:rsidRPr="001774DC" w:rsidRDefault="00D10794" w:rsidP="00D10794">
            <w:pPr>
              <w:spacing w:after="0"/>
              <w:rPr>
                <w:rFonts w:eastAsia="Times New Roman" w:cs="Arial"/>
                <w:b/>
                <w:bCs/>
                <w:sz w:val="20"/>
                <w:szCs w:val="20"/>
                <w:lang w:eastAsia="en-GB"/>
              </w:rPr>
            </w:pPr>
          </w:p>
        </w:tc>
        <w:tc>
          <w:tcPr>
            <w:tcW w:w="183" w:type="dxa"/>
            <w:tcBorders>
              <w:top w:val="nil"/>
              <w:left w:val="nil"/>
              <w:bottom w:val="nil"/>
              <w:right w:val="nil"/>
            </w:tcBorders>
            <w:shd w:val="clear" w:color="auto" w:fill="auto"/>
            <w:noWrap/>
            <w:vAlign w:val="bottom"/>
            <w:hideMark/>
          </w:tcPr>
          <w:p w14:paraId="521187D7" w14:textId="77777777" w:rsidR="00D10794" w:rsidRPr="001774DC" w:rsidRDefault="00D10794" w:rsidP="00D10794">
            <w:pPr>
              <w:spacing w:after="0"/>
              <w:jc w:val="center"/>
              <w:rPr>
                <w:rFonts w:eastAsia="Times New Roman" w:cs="Arial"/>
                <w:b/>
                <w:bCs/>
                <w:sz w:val="20"/>
                <w:szCs w:val="20"/>
                <w:lang w:eastAsia="en-GB"/>
              </w:rPr>
            </w:pPr>
          </w:p>
        </w:tc>
      </w:tr>
      <w:tr w:rsidR="002F12B1" w14:paraId="46A5A3A0" w14:textId="77777777" w:rsidTr="00D10794">
        <w:trPr>
          <w:trHeight w:val="326"/>
        </w:trPr>
        <w:tc>
          <w:tcPr>
            <w:tcW w:w="3530" w:type="dxa"/>
            <w:vMerge/>
            <w:tcBorders>
              <w:top w:val="single" w:sz="4" w:space="0" w:color="auto"/>
              <w:left w:val="single" w:sz="4" w:space="0" w:color="auto"/>
              <w:bottom w:val="single" w:sz="4" w:space="0" w:color="000000"/>
              <w:right w:val="single" w:sz="4" w:space="0" w:color="auto"/>
            </w:tcBorders>
            <w:vAlign w:val="center"/>
            <w:hideMark/>
          </w:tcPr>
          <w:p w14:paraId="476CC017" w14:textId="77777777" w:rsidR="00D10794" w:rsidRPr="001774DC" w:rsidRDefault="00D10794" w:rsidP="00D10794">
            <w:pPr>
              <w:spacing w:after="0"/>
              <w:rPr>
                <w:rFonts w:eastAsia="Times New Roman" w:cs="Arial"/>
                <w:b/>
                <w:bCs/>
                <w:sz w:val="20"/>
                <w:szCs w:val="20"/>
                <w:lang w:eastAsia="en-GB"/>
              </w:rPr>
            </w:pPr>
          </w:p>
        </w:tc>
        <w:tc>
          <w:tcPr>
            <w:tcW w:w="1802" w:type="dxa"/>
            <w:tcBorders>
              <w:top w:val="nil"/>
              <w:left w:val="nil"/>
              <w:bottom w:val="single" w:sz="4" w:space="0" w:color="auto"/>
              <w:right w:val="single" w:sz="4" w:space="0" w:color="auto"/>
            </w:tcBorders>
            <w:shd w:val="clear" w:color="000000" w:fill="D9D9D9"/>
            <w:noWrap/>
            <w:vAlign w:val="center"/>
            <w:hideMark/>
          </w:tcPr>
          <w:p w14:paraId="32121291"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£m</w:t>
            </w:r>
          </w:p>
        </w:tc>
        <w:tc>
          <w:tcPr>
            <w:tcW w:w="1801" w:type="dxa"/>
            <w:tcBorders>
              <w:top w:val="nil"/>
              <w:left w:val="nil"/>
              <w:bottom w:val="single" w:sz="4" w:space="0" w:color="auto"/>
              <w:right w:val="single" w:sz="4" w:space="0" w:color="auto"/>
            </w:tcBorders>
            <w:shd w:val="clear" w:color="000000" w:fill="D9D9D9"/>
            <w:noWrap/>
            <w:vAlign w:val="center"/>
            <w:hideMark/>
          </w:tcPr>
          <w:p w14:paraId="7A5F00D7"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£m</w:t>
            </w:r>
          </w:p>
        </w:tc>
        <w:tc>
          <w:tcPr>
            <w:tcW w:w="1823" w:type="dxa"/>
            <w:tcBorders>
              <w:top w:val="nil"/>
              <w:left w:val="nil"/>
              <w:bottom w:val="single" w:sz="4" w:space="0" w:color="auto"/>
              <w:right w:val="single" w:sz="4" w:space="0" w:color="auto"/>
            </w:tcBorders>
            <w:shd w:val="clear" w:color="000000" w:fill="D9D9D9"/>
            <w:noWrap/>
            <w:vAlign w:val="center"/>
            <w:hideMark/>
          </w:tcPr>
          <w:p w14:paraId="29B032D7" w14:textId="77777777" w:rsidR="00D10794" w:rsidRPr="001774DC" w:rsidRDefault="00D10794" w:rsidP="00D10794">
            <w:pPr>
              <w:spacing w:after="0"/>
              <w:jc w:val="center"/>
              <w:rPr>
                <w:rFonts w:eastAsia="Times New Roman" w:cs="Arial"/>
                <w:b/>
                <w:bCs/>
                <w:sz w:val="20"/>
                <w:szCs w:val="20"/>
                <w:lang w:eastAsia="en-GB"/>
              </w:rPr>
            </w:pPr>
            <w:r w:rsidRPr="001774DC">
              <w:rPr>
                <w:rFonts w:eastAsia="Times New Roman" w:cs="Arial"/>
                <w:b/>
                <w:bCs/>
                <w:sz w:val="20"/>
                <w:szCs w:val="20"/>
                <w:lang w:eastAsia="en-GB"/>
              </w:rPr>
              <w:t xml:space="preserve">£m </w:t>
            </w:r>
          </w:p>
        </w:tc>
        <w:tc>
          <w:tcPr>
            <w:tcW w:w="183" w:type="dxa"/>
            <w:vAlign w:val="center"/>
            <w:hideMark/>
          </w:tcPr>
          <w:p w14:paraId="679B29F6"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1D79A8B7"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5B83021F"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Schools (</w:t>
            </w:r>
            <w:proofErr w:type="spellStart"/>
            <w:r w:rsidRPr="001774DC">
              <w:rPr>
                <w:rFonts w:eastAsia="Times New Roman" w:cs="Arial"/>
                <w:sz w:val="20"/>
                <w:szCs w:val="20"/>
                <w:lang w:eastAsia="en-GB"/>
              </w:rPr>
              <w:t>exc</w:t>
            </w:r>
            <w:proofErr w:type="spellEnd"/>
            <w:r w:rsidRPr="001774DC">
              <w:rPr>
                <w:rFonts w:eastAsia="Times New Roman" w:cs="Arial"/>
                <w:sz w:val="20"/>
                <w:szCs w:val="20"/>
                <w:lang w:eastAsia="en-GB"/>
              </w:rPr>
              <w:t xml:space="preserve"> DFC)</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4BF546AA"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24.456 </w:t>
            </w:r>
          </w:p>
        </w:tc>
        <w:tc>
          <w:tcPr>
            <w:tcW w:w="1801" w:type="dxa"/>
            <w:tcBorders>
              <w:top w:val="nil"/>
              <w:left w:val="nil"/>
              <w:bottom w:val="single" w:sz="4" w:space="0" w:color="auto"/>
              <w:right w:val="single" w:sz="4" w:space="0" w:color="auto"/>
            </w:tcBorders>
            <w:shd w:val="clear" w:color="auto" w:fill="auto"/>
            <w:noWrap/>
            <w:vAlign w:val="center"/>
            <w:hideMark/>
          </w:tcPr>
          <w:p w14:paraId="1BA4B4B6"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20.675 </w:t>
            </w:r>
          </w:p>
        </w:tc>
        <w:tc>
          <w:tcPr>
            <w:tcW w:w="1823" w:type="dxa"/>
            <w:tcBorders>
              <w:top w:val="nil"/>
              <w:left w:val="nil"/>
              <w:bottom w:val="single" w:sz="4" w:space="0" w:color="auto"/>
              <w:right w:val="single" w:sz="4" w:space="0" w:color="auto"/>
            </w:tcBorders>
            <w:shd w:val="clear" w:color="000000" w:fill="D9D9D9"/>
            <w:noWrap/>
            <w:vAlign w:val="center"/>
            <w:hideMark/>
          </w:tcPr>
          <w:p w14:paraId="18B57280"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-3.781 </w:t>
            </w:r>
          </w:p>
        </w:tc>
        <w:tc>
          <w:tcPr>
            <w:tcW w:w="183" w:type="dxa"/>
            <w:vAlign w:val="center"/>
            <w:hideMark/>
          </w:tcPr>
          <w:p w14:paraId="03F65DD0"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7E29529C"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5F4A3824"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Schools DFC</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3D5897BE"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2.426 </w:t>
            </w:r>
          </w:p>
        </w:tc>
        <w:tc>
          <w:tcPr>
            <w:tcW w:w="1801" w:type="dxa"/>
            <w:tcBorders>
              <w:top w:val="nil"/>
              <w:left w:val="nil"/>
              <w:bottom w:val="single" w:sz="4" w:space="0" w:color="auto"/>
              <w:right w:val="single" w:sz="4" w:space="0" w:color="auto"/>
            </w:tcBorders>
            <w:shd w:val="clear" w:color="auto" w:fill="auto"/>
            <w:noWrap/>
            <w:vAlign w:val="center"/>
            <w:hideMark/>
          </w:tcPr>
          <w:p w14:paraId="0AC225A0"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2.998 </w:t>
            </w:r>
          </w:p>
        </w:tc>
        <w:tc>
          <w:tcPr>
            <w:tcW w:w="1823" w:type="dxa"/>
            <w:tcBorders>
              <w:top w:val="nil"/>
              <w:left w:val="nil"/>
              <w:bottom w:val="single" w:sz="4" w:space="0" w:color="auto"/>
              <w:right w:val="single" w:sz="4" w:space="0" w:color="auto"/>
            </w:tcBorders>
            <w:shd w:val="clear" w:color="000000" w:fill="D9D9D9"/>
            <w:noWrap/>
            <w:vAlign w:val="center"/>
            <w:hideMark/>
          </w:tcPr>
          <w:p w14:paraId="552A172F"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0.572 </w:t>
            </w:r>
          </w:p>
        </w:tc>
        <w:tc>
          <w:tcPr>
            <w:tcW w:w="183" w:type="dxa"/>
            <w:vAlign w:val="center"/>
            <w:hideMark/>
          </w:tcPr>
          <w:p w14:paraId="4AC8386C"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6B97ECA8"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1253208A"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Children and Young People</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1A13F6F9"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1.549 </w:t>
            </w:r>
          </w:p>
        </w:tc>
        <w:tc>
          <w:tcPr>
            <w:tcW w:w="1801" w:type="dxa"/>
            <w:tcBorders>
              <w:top w:val="nil"/>
              <w:left w:val="nil"/>
              <w:bottom w:val="single" w:sz="4" w:space="0" w:color="auto"/>
              <w:right w:val="single" w:sz="4" w:space="0" w:color="auto"/>
            </w:tcBorders>
            <w:shd w:val="clear" w:color="auto" w:fill="auto"/>
            <w:noWrap/>
            <w:vAlign w:val="center"/>
            <w:hideMark/>
          </w:tcPr>
          <w:p w14:paraId="0AF661B6"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1.586 </w:t>
            </w:r>
          </w:p>
        </w:tc>
        <w:tc>
          <w:tcPr>
            <w:tcW w:w="1823" w:type="dxa"/>
            <w:tcBorders>
              <w:top w:val="nil"/>
              <w:left w:val="nil"/>
              <w:bottom w:val="single" w:sz="4" w:space="0" w:color="auto"/>
              <w:right w:val="single" w:sz="4" w:space="0" w:color="auto"/>
            </w:tcBorders>
            <w:shd w:val="clear" w:color="000000" w:fill="D9D9D9"/>
            <w:noWrap/>
            <w:vAlign w:val="center"/>
            <w:hideMark/>
          </w:tcPr>
          <w:p w14:paraId="290F3FE3"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0.037 </w:t>
            </w:r>
          </w:p>
        </w:tc>
        <w:tc>
          <w:tcPr>
            <w:tcW w:w="183" w:type="dxa"/>
            <w:vAlign w:val="center"/>
            <w:hideMark/>
          </w:tcPr>
          <w:p w14:paraId="4912A6DB"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4683A8F3"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3E5EE5B6"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Highways</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99F5A8C"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43.863 </w:t>
            </w:r>
          </w:p>
        </w:tc>
        <w:tc>
          <w:tcPr>
            <w:tcW w:w="1801" w:type="dxa"/>
            <w:tcBorders>
              <w:top w:val="nil"/>
              <w:left w:val="nil"/>
              <w:bottom w:val="single" w:sz="4" w:space="0" w:color="auto"/>
              <w:right w:val="single" w:sz="4" w:space="0" w:color="auto"/>
            </w:tcBorders>
            <w:shd w:val="clear" w:color="auto" w:fill="auto"/>
            <w:noWrap/>
            <w:vAlign w:val="center"/>
            <w:hideMark/>
          </w:tcPr>
          <w:p w14:paraId="5161881F"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47.342 </w:t>
            </w:r>
          </w:p>
        </w:tc>
        <w:tc>
          <w:tcPr>
            <w:tcW w:w="1823" w:type="dxa"/>
            <w:tcBorders>
              <w:top w:val="nil"/>
              <w:left w:val="nil"/>
              <w:bottom w:val="single" w:sz="4" w:space="0" w:color="auto"/>
              <w:right w:val="single" w:sz="4" w:space="0" w:color="auto"/>
            </w:tcBorders>
            <w:shd w:val="clear" w:color="000000" w:fill="D9D9D9"/>
            <w:noWrap/>
            <w:vAlign w:val="center"/>
            <w:hideMark/>
          </w:tcPr>
          <w:p w14:paraId="25AFF03E"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3.479 </w:t>
            </w:r>
          </w:p>
        </w:tc>
        <w:tc>
          <w:tcPr>
            <w:tcW w:w="183" w:type="dxa"/>
            <w:vAlign w:val="center"/>
            <w:hideMark/>
          </w:tcPr>
          <w:p w14:paraId="69A05256"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26F88F1D"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43F547D8"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Transport</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33D213F1"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22.343 </w:t>
            </w:r>
          </w:p>
        </w:tc>
        <w:tc>
          <w:tcPr>
            <w:tcW w:w="1801" w:type="dxa"/>
            <w:tcBorders>
              <w:top w:val="nil"/>
              <w:left w:val="nil"/>
              <w:bottom w:val="single" w:sz="4" w:space="0" w:color="auto"/>
              <w:right w:val="single" w:sz="4" w:space="0" w:color="auto"/>
            </w:tcBorders>
            <w:shd w:val="clear" w:color="auto" w:fill="auto"/>
            <w:noWrap/>
            <w:vAlign w:val="center"/>
            <w:hideMark/>
          </w:tcPr>
          <w:p w14:paraId="1D53E2AA"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11.653 </w:t>
            </w:r>
          </w:p>
        </w:tc>
        <w:tc>
          <w:tcPr>
            <w:tcW w:w="1823" w:type="dxa"/>
            <w:tcBorders>
              <w:top w:val="nil"/>
              <w:left w:val="nil"/>
              <w:bottom w:val="single" w:sz="4" w:space="0" w:color="auto"/>
              <w:right w:val="single" w:sz="4" w:space="0" w:color="auto"/>
            </w:tcBorders>
            <w:shd w:val="clear" w:color="000000" w:fill="D9D9D9"/>
            <w:noWrap/>
            <w:vAlign w:val="center"/>
            <w:hideMark/>
          </w:tcPr>
          <w:p w14:paraId="362B4CA1"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-10.690 </w:t>
            </w:r>
          </w:p>
        </w:tc>
        <w:tc>
          <w:tcPr>
            <w:tcW w:w="183" w:type="dxa"/>
            <w:vAlign w:val="center"/>
            <w:hideMark/>
          </w:tcPr>
          <w:p w14:paraId="36279128"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6559D29A"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28970E5F"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Externally Funded</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460F2D40"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9.995 </w:t>
            </w:r>
          </w:p>
        </w:tc>
        <w:tc>
          <w:tcPr>
            <w:tcW w:w="1801" w:type="dxa"/>
            <w:tcBorders>
              <w:top w:val="nil"/>
              <w:left w:val="nil"/>
              <w:bottom w:val="single" w:sz="4" w:space="0" w:color="auto"/>
              <w:right w:val="single" w:sz="4" w:space="0" w:color="auto"/>
            </w:tcBorders>
            <w:shd w:val="clear" w:color="auto" w:fill="auto"/>
            <w:noWrap/>
            <w:vAlign w:val="center"/>
            <w:hideMark/>
          </w:tcPr>
          <w:p w14:paraId="4F47C8D1"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6.739 </w:t>
            </w:r>
          </w:p>
        </w:tc>
        <w:tc>
          <w:tcPr>
            <w:tcW w:w="1823" w:type="dxa"/>
            <w:tcBorders>
              <w:top w:val="nil"/>
              <w:left w:val="nil"/>
              <w:bottom w:val="single" w:sz="4" w:space="0" w:color="auto"/>
              <w:right w:val="single" w:sz="4" w:space="0" w:color="auto"/>
            </w:tcBorders>
            <w:shd w:val="clear" w:color="000000" w:fill="D9D9D9"/>
            <w:noWrap/>
            <w:vAlign w:val="center"/>
            <w:hideMark/>
          </w:tcPr>
          <w:p w14:paraId="0FEFC83B"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-3.256 </w:t>
            </w:r>
          </w:p>
        </w:tc>
        <w:tc>
          <w:tcPr>
            <w:tcW w:w="183" w:type="dxa"/>
            <w:vAlign w:val="center"/>
            <w:hideMark/>
          </w:tcPr>
          <w:p w14:paraId="7CE12BCA"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4A3458BB"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41F13F47"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Waste and Other</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5F155EC2"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0.000 </w:t>
            </w:r>
          </w:p>
        </w:tc>
        <w:tc>
          <w:tcPr>
            <w:tcW w:w="1801" w:type="dxa"/>
            <w:tcBorders>
              <w:top w:val="nil"/>
              <w:left w:val="nil"/>
              <w:bottom w:val="single" w:sz="4" w:space="0" w:color="auto"/>
              <w:right w:val="single" w:sz="4" w:space="0" w:color="auto"/>
            </w:tcBorders>
            <w:shd w:val="clear" w:color="auto" w:fill="auto"/>
            <w:noWrap/>
            <w:vAlign w:val="center"/>
            <w:hideMark/>
          </w:tcPr>
          <w:p w14:paraId="51E11BC1"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0.000 </w:t>
            </w:r>
          </w:p>
        </w:tc>
        <w:tc>
          <w:tcPr>
            <w:tcW w:w="1823" w:type="dxa"/>
            <w:tcBorders>
              <w:top w:val="nil"/>
              <w:left w:val="nil"/>
              <w:bottom w:val="single" w:sz="4" w:space="0" w:color="auto"/>
              <w:right w:val="single" w:sz="4" w:space="0" w:color="auto"/>
            </w:tcBorders>
            <w:shd w:val="clear" w:color="000000" w:fill="D9D9D9"/>
            <w:noWrap/>
            <w:vAlign w:val="center"/>
            <w:hideMark/>
          </w:tcPr>
          <w:p w14:paraId="43F2AECD"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0.000 </w:t>
            </w:r>
          </w:p>
        </w:tc>
        <w:tc>
          <w:tcPr>
            <w:tcW w:w="183" w:type="dxa"/>
            <w:vAlign w:val="center"/>
            <w:hideMark/>
          </w:tcPr>
          <w:p w14:paraId="5028D9B2"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014E0222"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553CDA52"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Adults Social Care</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1A905435"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18.972 </w:t>
            </w:r>
          </w:p>
        </w:tc>
        <w:tc>
          <w:tcPr>
            <w:tcW w:w="1801" w:type="dxa"/>
            <w:tcBorders>
              <w:top w:val="nil"/>
              <w:left w:val="nil"/>
              <w:bottom w:val="single" w:sz="4" w:space="0" w:color="auto"/>
              <w:right w:val="single" w:sz="4" w:space="0" w:color="auto"/>
            </w:tcBorders>
            <w:shd w:val="clear" w:color="auto" w:fill="auto"/>
            <w:noWrap/>
            <w:vAlign w:val="center"/>
            <w:hideMark/>
          </w:tcPr>
          <w:p w14:paraId="2DFB359E"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18.146 </w:t>
            </w:r>
          </w:p>
        </w:tc>
        <w:tc>
          <w:tcPr>
            <w:tcW w:w="1823" w:type="dxa"/>
            <w:tcBorders>
              <w:top w:val="nil"/>
              <w:left w:val="nil"/>
              <w:bottom w:val="single" w:sz="4" w:space="0" w:color="auto"/>
              <w:right w:val="single" w:sz="4" w:space="0" w:color="auto"/>
            </w:tcBorders>
            <w:shd w:val="clear" w:color="000000" w:fill="D9D9D9"/>
            <w:noWrap/>
            <w:vAlign w:val="center"/>
            <w:hideMark/>
          </w:tcPr>
          <w:p w14:paraId="1944C95D"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-0.826 </w:t>
            </w:r>
          </w:p>
        </w:tc>
        <w:tc>
          <w:tcPr>
            <w:tcW w:w="183" w:type="dxa"/>
            <w:vAlign w:val="center"/>
            <w:hideMark/>
          </w:tcPr>
          <w:p w14:paraId="7EEDBBE3"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0328B8EC"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28B47FD6"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 xml:space="preserve">Corporate </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2F98F209"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18.753 </w:t>
            </w:r>
          </w:p>
        </w:tc>
        <w:tc>
          <w:tcPr>
            <w:tcW w:w="1801" w:type="dxa"/>
            <w:tcBorders>
              <w:top w:val="nil"/>
              <w:left w:val="nil"/>
              <w:bottom w:val="single" w:sz="4" w:space="0" w:color="auto"/>
              <w:right w:val="single" w:sz="4" w:space="0" w:color="auto"/>
            </w:tcBorders>
            <w:shd w:val="clear" w:color="auto" w:fill="auto"/>
            <w:noWrap/>
            <w:vAlign w:val="center"/>
            <w:hideMark/>
          </w:tcPr>
          <w:p w14:paraId="198A1894"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9.512 </w:t>
            </w:r>
          </w:p>
        </w:tc>
        <w:tc>
          <w:tcPr>
            <w:tcW w:w="1823" w:type="dxa"/>
            <w:tcBorders>
              <w:top w:val="nil"/>
              <w:left w:val="nil"/>
              <w:bottom w:val="single" w:sz="4" w:space="0" w:color="auto"/>
              <w:right w:val="single" w:sz="4" w:space="0" w:color="auto"/>
            </w:tcBorders>
            <w:shd w:val="clear" w:color="000000" w:fill="D9D9D9"/>
            <w:noWrap/>
            <w:vAlign w:val="center"/>
            <w:hideMark/>
          </w:tcPr>
          <w:p w14:paraId="61DDA4AB"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-9.241 </w:t>
            </w:r>
          </w:p>
        </w:tc>
        <w:tc>
          <w:tcPr>
            <w:tcW w:w="183" w:type="dxa"/>
            <w:vAlign w:val="center"/>
            <w:hideMark/>
          </w:tcPr>
          <w:p w14:paraId="0F030D7A"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4E379A90"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4C4AE0AB"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Economic Development</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6F99DD08"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9.203 </w:t>
            </w:r>
          </w:p>
        </w:tc>
        <w:tc>
          <w:tcPr>
            <w:tcW w:w="1801" w:type="dxa"/>
            <w:tcBorders>
              <w:top w:val="nil"/>
              <w:left w:val="nil"/>
              <w:bottom w:val="single" w:sz="4" w:space="0" w:color="auto"/>
              <w:right w:val="single" w:sz="4" w:space="0" w:color="auto"/>
            </w:tcBorders>
            <w:shd w:val="clear" w:color="auto" w:fill="auto"/>
            <w:noWrap/>
            <w:vAlign w:val="center"/>
            <w:hideMark/>
          </w:tcPr>
          <w:p w14:paraId="7CC175BC"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4.779 </w:t>
            </w:r>
          </w:p>
        </w:tc>
        <w:tc>
          <w:tcPr>
            <w:tcW w:w="1823" w:type="dxa"/>
            <w:tcBorders>
              <w:top w:val="nil"/>
              <w:left w:val="nil"/>
              <w:bottom w:val="single" w:sz="4" w:space="0" w:color="auto"/>
              <w:right w:val="single" w:sz="4" w:space="0" w:color="auto"/>
            </w:tcBorders>
            <w:shd w:val="clear" w:color="000000" w:fill="D9D9D9"/>
            <w:noWrap/>
            <w:vAlign w:val="center"/>
            <w:hideMark/>
          </w:tcPr>
          <w:p w14:paraId="24CEBAFD"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-4.424 </w:t>
            </w:r>
          </w:p>
        </w:tc>
        <w:tc>
          <w:tcPr>
            <w:tcW w:w="183" w:type="dxa"/>
            <w:vAlign w:val="center"/>
            <w:hideMark/>
          </w:tcPr>
          <w:p w14:paraId="29E841F8"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22918C59"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46316D7D"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Vehicles</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714232D1"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4.924 </w:t>
            </w:r>
          </w:p>
        </w:tc>
        <w:tc>
          <w:tcPr>
            <w:tcW w:w="1801" w:type="dxa"/>
            <w:tcBorders>
              <w:top w:val="nil"/>
              <w:left w:val="nil"/>
              <w:bottom w:val="single" w:sz="4" w:space="0" w:color="auto"/>
              <w:right w:val="single" w:sz="4" w:space="0" w:color="auto"/>
            </w:tcBorders>
            <w:shd w:val="clear" w:color="auto" w:fill="auto"/>
            <w:noWrap/>
            <w:vAlign w:val="center"/>
            <w:hideMark/>
          </w:tcPr>
          <w:p w14:paraId="13A47709"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3.002 </w:t>
            </w:r>
          </w:p>
        </w:tc>
        <w:tc>
          <w:tcPr>
            <w:tcW w:w="1823" w:type="dxa"/>
            <w:tcBorders>
              <w:top w:val="nil"/>
              <w:left w:val="nil"/>
              <w:bottom w:val="single" w:sz="4" w:space="0" w:color="auto"/>
              <w:right w:val="single" w:sz="4" w:space="0" w:color="auto"/>
            </w:tcBorders>
            <w:shd w:val="clear" w:color="000000" w:fill="D9D9D9"/>
            <w:noWrap/>
            <w:vAlign w:val="center"/>
            <w:hideMark/>
          </w:tcPr>
          <w:p w14:paraId="27775888"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-1.922 </w:t>
            </w:r>
          </w:p>
        </w:tc>
        <w:tc>
          <w:tcPr>
            <w:tcW w:w="183" w:type="dxa"/>
            <w:vAlign w:val="center"/>
            <w:hideMark/>
          </w:tcPr>
          <w:p w14:paraId="288C1F17"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48481E42" w14:textId="77777777" w:rsidTr="00D10794">
        <w:trPr>
          <w:trHeight w:val="326"/>
        </w:trPr>
        <w:tc>
          <w:tcPr>
            <w:tcW w:w="3530" w:type="dxa"/>
            <w:tcBorders>
              <w:top w:val="nil"/>
              <w:left w:val="single" w:sz="4" w:space="0" w:color="auto"/>
              <w:bottom w:val="single" w:sz="4" w:space="0" w:color="auto"/>
              <w:right w:val="nil"/>
            </w:tcBorders>
            <w:shd w:val="clear" w:color="auto" w:fill="auto"/>
            <w:noWrap/>
            <w:vAlign w:val="center"/>
            <w:hideMark/>
          </w:tcPr>
          <w:p w14:paraId="44C207C0" w14:textId="77777777" w:rsidR="00D10794" w:rsidRPr="001774DC" w:rsidRDefault="00D10794" w:rsidP="00D10794">
            <w:pPr>
              <w:spacing w:after="0"/>
              <w:rPr>
                <w:rFonts w:eastAsia="Times New Roman" w:cs="Arial"/>
                <w:sz w:val="20"/>
                <w:szCs w:val="20"/>
                <w:lang w:eastAsia="en-GB"/>
              </w:rPr>
            </w:pPr>
            <w:r w:rsidRPr="001774DC">
              <w:rPr>
                <w:rFonts w:eastAsia="Times New Roman" w:cs="Arial"/>
                <w:sz w:val="20"/>
                <w:szCs w:val="20"/>
                <w:lang w:eastAsia="en-GB"/>
              </w:rPr>
              <w:t>Transforming Cities</w:t>
            </w:r>
          </w:p>
        </w:tc>
        <w:tc>
          <w:tcPr>
            <w:tcW w:w="1802" w:type="dxa"/>
            <w:tcBorders>
              <w:top w:val="nil"/>
              <w:left w:val="single" w:sz="4" w:space="0" w:color="auto"/>
              <w:bottom w:val="single" w:sz="4" w:space="0" w:color="auto"/>
              <w:right w:val="single" w:sz="4" w:space="0" w:color="auto"/>
            </w:tcBorders>
            <w:shd w:val="clear" w:color="auto" w:fill="auto"/>
            <w:noWrap/>
            <w:vAlign w:val="center"/>
            <w:hideMark/>
          </w:tcPr>
          <w:p w14:paraId="62B02D49"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3.936 </w:t>
            </w:r>
          </w:p>
        </w:tc>
        <w:tc>
          <w:tcPr>
            <w:tcW w:w="1801" w:type="dxa"/>
            <w:tcBorders>
              <w:top w:val="nil"/>
              <w:left w:val="nil"/>
              <w:bottom w:val="single" w:sz="4" w:space="0" w:color="auto"/>
              <w:right w:val="single" w:sz="4" w:space="0" w:color="auto"/>
            </w:tcBorders>
            <w:shd w:val="clear" w:color="auto" w:fill="auto"/>
            <w:noWrap/>
            <w:vAlign w:val="center"/>
            <w:hideMark/>
          </w:tcPr>
          <w:p w14:paraId="1BC62FE0"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1.378 </w:t>
            </w:r>
          </w:p>
        </w:tc>
        <w:tc>
          <w:tcPr>
            <w:tcW w:w="1823" w:type="dxa"/>
            <w:tcBorders>
              <w:top w:val="nil"/>
              <w:left w:val="nil"/>
              <w:bottom w:val="single" w:sz="4" w:space="0" w:color="auto"/>
              <w:right w:val="single" w:sz="4" w:space="0" w:color="auto"/>
            </w:tcBorders>
            <w:shd w:val="clear" w:color="000000" w:fill="D9D9D9"/>
            <w:noWrap/>
            <w:vAlign w:val="center"/>
            <w:hideMark/>
          </w:tcPr>
          <w:p w14:paraId="1D275C80" w14:textId="77777777" w:rsidR="00D10794" w:rsidRPr="001774DC" w:rsidRDefault="00D10794" w:rsidP="00D10794">
            <w:pPr>
              <w:spacing w:after="0"/>
              <w:jc w:val="right"/>
              <w:rPr>
                <w:rFonts w:eastAsia="Times New Roman" w:cs="Arial"/>
                <w:sz w:val="20"/>
                <w:szCs w:val="20"/>
                <w:lang w:eastAsia="en-GB"/>
              </w:rPr>
            </w:pPr>
            <w:r w:rsidRPr="001774DC">
              <w:rPr>
                <w:rFonts w:eastAsia="Times New Roman" w:cs="Arial"/>
                <w:sz w:val="20"/>
                <w:szCs w:val="20"/>
                <w:lang w:eastAsia="en-GB"/>
              </w:rPr>
              <w:t xml:space="preserve">-2.558 </w:t>
            </w:r>
          </w:p>
        </w:tc>
        <w:tc>
          <w:tcPr>
            <w:tcW w:w="183" w:type="dxa"/>
            <w:vAlign w:val="center"/>
            <w:hideMark/>
          </w:tcPr>
          <w:p w14:paraId="0A144FDA" w14:textId="77777777" w:rsidR="00D10794" w:rsidRPr="001774DC" w:rsidRDefault="00D10794" w:rsidP="00D10794">
            <w:pPr>
              <w:spacing w:after="0"/>
              <w:rPr>
                <w:rFonts w:ascii="Times New Roman" w:eastAsia="Times New Roman" w:hAnsi="Times New Roman" w:cs="Times New Roman"/>
                <w:sz w:val="20"/>
                <w:szCs w:val="20"/>
                <w:lang w:eastAsia="en-GB"/>
              </w:rPr>
            </w:pPr>
          </w:p>
        </w:tc>
      </w:tr>
      <w:tr w:rsidR="002F12B1" w14:paraId="4D329BFE" w14:textId="77777777" w:rsidTr="00D10794">
        <w:trPr>
          <w:trHeight w:val="358"/>
        </w:trPr>
        <w:tc>
          <w:tcPr>
            <w:tcW w:w="3530" w:type="dxa"/>
            <w:tcBorders>
              <w:top w:val="nil"/>
              <w:left w:val="single" w:sz="4" w:space="0" w:color="auto"/>
              <w:bottom w:val="single" w:sz="4" w:space="0" w:color="auto"/>
              <w:right w:val="nil"/>
            </w:tcBorders>
            <w:shd w:val="clear" w:color="auto" w:fill="auto"/>
            <w:noWrap/>
            <w:vAlign w:val="center"/>
            <w:hideMark/>
          </w:tcPr>
          <w:p w14:paraId="11BDAF6F" w14:textId="77777777" w:rsidR="00D10794" w:rsidRPr="001774DC" w:rsidRDefault="00D10794" w:rsidP="00D10794">
            <w:pPr>
              <w:spacing w:after="0"/>
              <w:rPr>
                <w:rFonts w:eastAsia="Times New Roman" w:cs="Arial"/>
                <w:b/>
                <w:bCs/>
                <w:sz w:val="20"/>
                <w:szCs w:val="20"/>
                <w:lang w:eastAsia="en-GB"/>
              </w:rPr>
            </w:pPr>
            <w:r w:rsidRPr="001774DC">
              <w:rPr>
                <w:rFonts w:eastAsia="Times New Roman" w:cs="Arial"/>
                <w:b/>
                <w:bCs/>
                <w:sz w:val="20"/>
                <w:szCs w:val="20"/>
                <w:lang w:eastAsia="en-GB"/>
              </w:rPr>
              <w:t>Totals</w:t>
            </w:r>
          </w:p>
        </w:tc>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34FFE68E" w14:textId="77777777" w:rsidR="00D10794" w:rsidRPr="001774DC" w:rsidRDefault="00D10794" w:rsidP="00D10794">
            <w:pPr>
              <w:spacing w:after="0"/>
              <w:jc w:val="right"/>
              <w:rPr>
                <w:rFonts w:eastAsia="Times New Roman" w:cs="Arial"/>
                <w:b/>
                <w:bCs/>
                <w:sz w:val="20"/>
                <w:szCs w:val="20"/>
                <w:lang w:eastAsia="en-GB"/>
              </w:rPr>
            </w:pPr>
            <w:r w:rsidRPr="001774DC">
              <w:rPr>
                <w:rFonts w:eastAsia="Times New Roman" w:cs="Arial"/>
                <w:b/>
                <w:bCs/>
                <w:sz w:val="20"/>
                <w:szCs w:val="20"/>
                <w:lang w:eastAsia="en-GB"/>
              </w:rPr>
              <w:t xml:space="preserve">160.420 </w:t>
            </w:r>
          </w:p>
        </w:tc>
        <w:tc>
          <w:tcPr>
            <w:tcW w:w="1801" w:type="dxa"/>
            <w:tcBorders>
              <w:top w:val="nil"/>
              <w:left w:val="nil"/>
              <w:bottom w:val="single" w:sz="4" w:space="0" w:color="auto"/>
              <w:right w:val="single" w:sz="4" w:space="0" w:color="auto"/>
            </w:tcBorders>
            <w:shd w:val="clear" w:color="auto" w:fill="auto"/>
            <w:noWrap/>
            <w:vAlign w:val="bottom"/>
            <w:hideMark/>
          </w:tcPr>
          <w:p w14:paraId="583C9606" w14:textId="77777777" w:rsidR="00D10794" w:rsidRPr="001774DC" w:rsidRDefault="00D10794" w:rsidP="00D10794">
            <w:pPr>
              <w:spacing w:after="0"/>
              <w:jc w:val="right"/>
              <w:rPr>
                <w:rFonts w:eastAsia="Times New Roman" w:cs="Arial"/>
                <w:b/>
                <w:bCs/>
                <w:sz w:val="20"/>
                <w:szCs w:val="20"/>
                <w:lang w:eastAsia="en-GB"/>
              </w:rPr>
            </w:pPr>
            <w:r w:rsidRPr="001774DC">
              <w:rPr>
                <w:rFonts w:eastAsia="Times New Roman" w:cs="Arial"/>
                <w:b/>
                <w:bCs/>
                <w:sz w:val="20"/>
                <w:szCs w:val="20"/>
                <w:lang w:eastAsia="en-GB"/>
              </w:rPr>
              <w:t xml:space="preserve">127.810 </w:t>
            </w:r>
          </w:p>
        </w:tc>
        <w:tc>
          <w:tcPr>
            <w:tcW w:w="1823" w:type="dxa"/>
            <w:tcBorders>
              <w:top w:val="nil"/>
              <w:left w:val="nil"/>
              <w:bottom w:val="single" w:sz="4" w:space="0" w:color="auto"/>
              <w:right w:val="single" w:sz="4" w:space="0" w:color="auto"/>
            </w:tcBorders>
            <w:shd w:val="clear" w:color="000000" w:fill="D9D9D9"/>
            <w:noWrap/>
            <w:vAlign w:val="bottom"/>
            <w:hideMark/>
          </w:tcPr>
          <w:p w14:paraId="2754461D" w14:textId="77777777" w:rsidR="00D10794" w:rsidRPr="001774DC" w:rsidRDefault="00D10794" w:rsidP="00D10794">
            <w:pPr>
              <w:spacing w:after="0"/>
              <w:jc w:val="right"/>
              <w:rPr>
                <w:rFonts w:eastAsia="Times New Roman" w:cs="Arial"/>
                <w:b/>
                <w:bCs/>
                <w:sz w:val="20"/>
                <w:szCs w:val="20"/>
                <w:lang w:eastAsia="en-GB"/>
              </w:rPr>
            </w:pPr>
            <w:r w:rsidRPr="001774DC">
              <w:rPr>
                <w:rFonts w:eastAsia="Times New Roman" w:cs="Arial"/>
                <w:b/>
                <w:bCs/>
                <w:sz w:val="20"/>
                <w:szCs w:val="20"/>
                <w:lang w:eastAsia="en-GB"/>
              </w:rPr>
              <w:t xml:space="preserve">-32.610 </w:t>
            </w:r>
          </w:p>
        </w:tc>
        <w:tc>
          <w:tcPr>
            <w:tcW w:w="183" w:type="dxa"/>
            <w:vAlign w:val="center"/>
            <w:hideMark/>
          </w:tcPr>
          <w:p w14:paraId="67128985" w14:textId="77777777" w:rsidR="00D10794" w:rsidRPr="001774DC" w:rsidRDefault="00D10794" w:rsidP="00D10794">
            <w:pPr>
              <w:spacing w:after="0"/>
              <w:rPr>
                <w:rFonts w:ascii="Times New Roman" w:eastAsia="Times New Roman" w:hAnsi="Times New Roman" w:cs="Times New Roman"/>
                <w:sz w:val="20"/>
                <w:szCs w:val="20"/>
                <w:lang w:eastAsia="en-GB"/>
              </w:rPr>
            </w:pPr>
          </w:p>
        </w:tc>
      </w:tr>
    </w:tbl>
    <w:p w14:paraId="29972F99" w14:textId="77777777" w:rsidR="00D10794" w:rsidRDefault="00D10794" w:rsidP="00D10794">
      <w:pPr>
        <w:spacing w:after="0"/>
        <w:rPr>
          <w:rFonts w:cstheme="minorHAnsi"/>
          <w:color w:val="000000" w:themeColor="text1"/>
        </w:rPr>
      </w:pPr>
    </w:p>
    <w:p w14:paraId="2809CFA2" w14:textId="77777777" w:rsidR="00D10794" w:rsidRDefault="00D10794" w:rsidP="00D10794">
      <w:pPr>
        <w:spacing w:after="0"/>
        <w:rPr>
          <w:rFonts w:cstheme="minorHAnsi"/>
          <w:color w:val="000000" w:themeColor="text1"/>
        </w:rPr>
      </w:pPr>
      <w:r w:rsidRPr="00F4040A">
        <w:rPr>
          <w:rFonts w:cstheme="minorHAnsi"/>
          <w:color w:val="000000" w:themeColor="text1"/>
        </w:rPr>
        <w:t xml:space="preserve">The outturn </w:t>
      </w:r>
      <w:proofErr w:type="gramStart"/>
      <w:r w:rsidRPr="00F4040A">
        <w:rPr>
          <w:rFonts w:cstheme="minorHAnsi"/>
          <w:color w:val="000000" w:themeColor="text1"/>
        </w:rPr>
        <w:t>spend</w:t>
      </w:r>
      <w:proofErr w:type="gramEnd"/>
      <w:r w:rsidRPr="00F4040A">
        <w:rPr>
          <w:rFonts w:cstheme="minorHAnsi"/>
          <w:color w:val="000000" w:themeColor="text1"/>
        </w:rPr>
        <w:t xml:space="preserve"> for 2020/21 is £127.810m and funded from a combination of Borrowing (£42.536m), Grants (£73.698m) and Contributions (£11.576m).</w:t>
      </w:r>
      <w:r w:rsidRPr="00C1534B">
        <w:rPr>
          <w:rFonts w:cstheme="minorHAnsi"/>
          <w:color w:val="000000" w:themeColor="text1"/>
        </w:rPr>
        <w:t xml:space="preserve"> </w:t>
      </w:r>
    </w:p>
    <w:p w14:paraId="1B6F4588" w14:textId="77777777" w:rsidR="00D10794" w:rsidRDefault="00D10794" w:rsidP="00D10794">
      <w:pPr>
        <w:spacing w:after="0"/>
        <w:rPr>
          <w:rFonts w:cstheme="minorHAnsi"/>
          <w:color w:val="000000" w:themeColor="text1"/>
        </w:rPr>
      </w:pPr>
    </w:p>
    <w:p w14:paraId="16CB376B" w14:textId="77777777" w:rsidR="00D10794" w:rsidRPr="002C1922" w:rsidRDefault="00D10794" w:rsidP="00D10794">
      <w:pPr>
        <w:rPr>
          <w:rFonts w:cstheme="minorHAnsi"/>
          <w:color w:val="000000" w:themeColor="text1"/>
        </w:rPr>
      </w:pPr>
      <w:r w:rsidRPr="002C1922">
        <w:rPr>
          <w:rFonts w:cstheme="minorHAnsi"/>
          <w:color w:val="000000" w:themeColor="text1"/>
        </w:rPr>
        <w:t>A more detailed narrative on the key items making up the variances by blo</w:t>
      </w:r>
      <w:r>
        <w:rPr>
          <w:rFonts w:cstheme="minorHAnsi"/>
          <w:color w:val="000000" w:themeColor="text1"/>
        </w:rPr>
        <w:t xml:space="preserve">ck can be found in the </w:t>
      </w:r>
      <w:r w:rsidRPr="007B4ED7">
        <w:rPr>
          <w:rFonts w:cstheme="minorHAnsi"/>
          <w:color w:val="000000" w:themeColor="text1"/>
        </w:rPr>
        <w:t>section 5</w:t>
      </w:r>
      <w:r w:rsidRPr="002C1922">
        <w:rPr>
          <w:rFonts w:cstheme="minorHAnsi"/>
          <w:color w:val="000000" w:themeColor="text1"/>
        </w:rPr>
        <w:t xml:space="preserve"> of the report. </w:t>
      </w:r>
    </w:p>
    <w:p w14:paraId="0D19C284" w14:textId="77777777" w:rsidR="00D10794" w:rsidRDefault="00D10794" w:rsidP="00D10794">
      <w:pPr>
        <w:rPr>
          <w:rFonts w:cstheme="minorHAnsi"/>
          <w:b/>
        </w:rPr>
      </w:pPr>
    </w:p>
    <w:p w14:paraId="3047EFBC" w14:textId="77777777" w:rsidR="00D10794" w:rsidRDefault="00D10794" w:rsidP="00D10794">
      <w:pPr>
        <w:rPr>
          <w:rFonts w:cstheme="minorHAnsi"/>
          <w:b/>
        </w:rPr>
      </w:pPr>
    </w:p>
    <w:p w14:paraId="52C4D876" w14:textId="77777777" w:rsidR="00D10794" w:rsidRDefault="00D10794" w:rsidP="00D10794">
      <w:pPr>
        <w:rPr>
          <w:rFonts w:cstheme="minorHAnsi"/>
          <w:b/>
        </w:rPr>
      </w:pPr>
    </w:p>
    <w:p w14:paraId="64B1068C" w14:textId="77777777" w:rsidR="00D10794" w:rsidRDefault="00D10794" w:rsidP="00D10794">
      <w:pPr>
        <w:rPr>
          <w:rFonts w:cstheme="minorHAnsi"/>
          <w:b/>
        </w:rPr>
      </w:pPr>
    </w:p>
    <w:p w14:paraId="76552756" w14:textId="77777777" w:rsidR="00D10794" w:rsidRDefault="00D10794" w:rsidP="00D10794">
      <w:pPr>
        <w:rPr>
          <w:rFonts w:cstheme="minorHAnsi"/>
          <w:b/>
        </w:rPr>
      </w:pPr>
    </w:p>
    <w:p w14:paraId="3BD2FF76" w14:textId="77777777" w:rsidR="00D10794" w:rsidRDefault="00D10794" w:rsidP="00D10794">
      <w:pPr>
        <w:rPr>
          <w:rFonts w:cstheme="minorHAnsi"/>
          <w:b/>
        </w:rPr>
      </w:pPr>
    </w:p>
    <w:p w14:paraId="289F1707" w14:textId="77777777" w:rsidR="00D10794" w:rsidRDefault="00D10794" w:rsidP="00D10794">
      <w:pPr>
        <w:rPr>
          <w:rFonts w:cstheme="minorHAnsi"/>
          <w:b/>
        </w:rPr>
      </w:pPr>
    </w:p>
    <w:p w14:paraId="7A43341E" w14:textId="77777777" w:rsidR="00D10794" w:rsidRDefault="00D10794" w:rsidP="00D10794">
      <w:pPr>
        <w:rPr>
          <w:rFonts w:cstheme="minorHAnsi"/>
          <w:b/>
        </w:rPr>
      </w:pPr>
    </w:p>
    <w:p w14:paraId="7F335529" w14:textId="77777777" w:rsidR="00D10794" w:rsidRDefault="00D10794" w:rsidP="00D10794">
      <w:pPr>
        <w:rPr>
          <w:rFonts w:cstheme="minorHAnsi"/>
          <w:b/>
        </w:rPr>
      </w:pPr>
    </w:p>
    <w:p w14:paraId="6F57063E" w14:textId="77777777" w:rsidR="00D10794" w:rsidRDefault="00D10794" w:rsidP="00D10794">
      <w:pPr>
        <w:rPr>
          <w:rFonts w:cstheme="minorHAnsi"/>
          <w:b/>
        </w:rPr>
      </w:pPr>
    </w:p>
    <w:p w14:paraId="78977E91" w14:textId="77777777" w:rsidR="00D10794" w:rsidRDefault="00D10794" w:rsidP="00D10794">
      <w:pPr>
        <w:rPr>
          <w:rFonts w:cstheme="minorHAnsi"/>
          <w:b/>
        </w:rPr>
      </w:pPr>
    </w:p>
    <w:p w14:paraId="66DF7F3A" w14:textId="77777777" w:rsidR="00D10794" w:rsidRDefault="00D10794" w:rsidP="00D10794">
      <w:pPr>
        <w:rPr>
          <w:rFonts w:cstheme="minorHAnsi"/>
          <w:b/>
        </w:rPr>
      </w:pPr>
    </w:p>
    <w:p w14:paraId="60650D6C" w14:textId="77777777" w:rsidR="00D10794" w:rsidRPr="007B4ED7" w:rsidRDefault="00D10794" w:rsidP="00D10794">
      <w:pPr>
        <w:rPr>
          <w:rFonts w:cstheme="minorHAnsi"/>
          <w:b/>
        </w:rPr>
      </w:pPr>
      <w:r w:rsidRPr="007B4ED7">
        <w:rPr>
          <w:rFonts w:cstheme="minorHAnsi"/>
          <w:b/>
        </w:rPr>
        <w:t>Table 3 – Analysis of outturn variance</w:t>
      </w:r>
    </w:p>
    <w:p w14:paraId="1FC0DB7A" w14:textId="77777777" w:rsidR="00D10794" w:rsidRDefault="00D10794" w:rsidP="00D10794"/>
    <w:tbl>
      <w:tblPr>
        <w:tblW w:w="9454" w:type="dxa"/>
        <w:tblLook w:val="04A0" w:firstRow="1" w:lastRow="0" w:firstColumn="1" w:lastColumn="0" w:noHBand="0" w:noVBand="1"/>
      </w:tblPr>
      <w:tblGrid>
        <w:gridCol w:w="2136"/>
        <w:gridCol w:w="1424"/>
        <w:gridCol w:w="1495"/>
        <w:gridCol w:w="1440"/>
        <w:gridCol w:w="1507"/>
        <w:gridCol w:w="1507"/>
      </w:tblGrid>
      <w:tr w:rsidR="002F12B1" w14:paraId="6AE8D2D7" w14:textId="77777777" w:rsidTr="00D10794">
        <w:trPr>
          <w:trHeight w:val="1411"/>
        </w:trPr>
        <w:tc>
          <w:tcPr>
            <w:tcW w:w="21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B098BC"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Service Area</w:t>
            </w:r>
          </w:p>
        </w:tc>
        <w:tc>
          <w:tcPr>
            <w:tcW w:w="1424" w:type="dxa"/>
            <w:tcBorders>
              <w:top w:val="single" w:sz="4" w:space="0" w:color="auto"/>
              <w:left w:val="nil"/>
              <w:bottom w:val="single" w:sz="4" w:space="0" w:color="auto"/>
              <w:right w:val="single" w:sz="4" w:space="0" w:color="auto"/>
            </w:tcBorders>
            <w:shd w:val="clear" w:color="000000" w:fill="D9D9D9"/>
            <w:vAlign w:val="center"/>
            <w:hideMark/>
          </w:tcPr>
          <w:p w14:paraId="45E02DBA"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Outturn Variance</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444712B6"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Underspends and potential underspends</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75A5974C"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 xml:space="preserve">Overspends and potential overspends </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6CAA2DE0"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Slipped Delivery</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57AEE089"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Additional delivery</w:t>
            </w:r>
          </w:p>
        </w:tc>
      </w:tr>
      <w:tr w:rsidR="002F12B1" w14:paraId="671EA6A4" w14:textId="77777777" w:rsidTr="00D10794">
        <w:trPr>
          <w:trHeight w:val="231"/>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00ED719A" w14:textId="77777777" w:rsidR="00D10794" w:rsidRPr="008123F7" w:rsidRDefault="00D10794" w:rsidP="00D10794">
            <w:pPr>
              <w:spacing w:after="0"/>
              <w:rPr>
                <w:rFonts w:eastAsia="Times New Roman" w:cs="Arial"/>
                <w:b/>
                <w:bCs/>
                <w:sz w:val="20"/>
                <w:szCs w:val="20"/>
                <w:lang w:eastAsia="en-GB"/>
              </w:rPr>
            </w:pPr>
          </w:p>
        </w:tc>
        <w:tc>
          <w:tcPr>
            <w:tcW w:w="1424" w:type="dxa"/>
            <w:tcBorders>
              <w:top w:val="nil"/>
              <w:left w:val="nil"/>
              <w:bottom w:val="single" w:sz="4" w:space="0" w:color="auto"/>
              <w:right w:val="single" w:sz="4" w:space="0" w:color="auto"/>
            </w:tcBorders>
            <w:shd w:val="clear" w:color="000000" w:fill="D9D9D9"/>
            <w:noWrap/>
            <w:vAlign w:val="center"/>
            <w:hideMark/>
          </w:tcPr>
          <w:p w14:paraId="302BDF36"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£m</w:t>
            </w:r>
          </w:p>
        </w:tc>
        <w:tc>
          <w:tcPr>
            <w:tcW w:w="1440" w:type="dxa"/>
            <w:tcBorders>
              <w:top w:val="nil"/>
              <w:left w:val="nil"/>
              <w:bottom w:val="single" w:sz="4" w:space="0" w:color="auto"/>
              <w:right w:val="single" w:sz="4" w:space="0" w:color="auto"/>
            </w:tcBorders>
            <w:shd w:val="clear" w:color="000000" w:fill="D9D9D9"/>
            <w:noWrap/>
            <w:vAlign w:val="center"/>
            <w:hideMark/>
          </w:tcPr>
          <w:p w14:paraId="1E1EF249"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£m</w:t>
            </w:r>
          </w:p>
        </w:tc>
        <w:tc>
          <w:tcPr>
            <w:tcW w:w="1440" w:type="dxa"/>
            <w:tcBorders>
              <w:top w:val="nil"/>
              <w:left w:val="nil"/>
              <w:bottom w:val="single" w:sz="4" w:space="0" w:color="auto"/>
              <w:right w:val="single" w:sz="4" w:space="0" w:color="auto"/>
            </w:tcBorders>
            <w:shd w:val="clear" w:color="000000" w:fill="D9D9D9"/>
            <w:noWrap/>
            <w:vAlign w:val="center"/>
            <w:hideMark/>
          </w:tcPr>
          <w:p w14:paraId="2441AD6E"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£m</w:t>
            </w:r>
          </w:p>
        </w:tc>
        <w:tc>
          <w:tcPr>
            <w:tcW w:w="1507" w:type="dxa"/>
            <w:tcBorders>
              <w:top w:val="nil"/>
              <w:left w:val="nil"/>
              <w:bottom w:val="single" w:sz="4" w:space="0" w:color="auto"/>
              <w:right w:val="single" w:sz="4" w:space="0" w:color="auto"/>
            </w:tcBorders>
            <w:shd w:val="clear" w:color="000000" w:fill="D9D9D9"/>
            <w:noWrap/>
            <w:vAlign w:val="center"/>
            <w:hideMark/>
          </w:tcPr>
          <w:p w14:paraId="06A71B0F"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£m</w:t>
            </w:r>
          </w:p>
        </w:tc>
        <w:tc>
          <w:tcPr>
            <w:tcW w:w="1507" w:type="dxa"/>
            <w:tcBorders>
              <w:top w:val="nil"/>
              <w:left w:val="nil"/>
              <w:bottom w:val="single" w:sz="4" w:space="0" w:color="auto"/>
              <w:right w:val="single" w:sz="4" w:space="0" w:color="auto"/>
            </w:tcBorders>
            <w:shd w:val="clear" w:color="000000" w:fill="D9D9D9"/>
            <w:noWrap/>
            <w:vAlign w:val="center"/>
            <w:hideMark/>
          </w:tcPr>
          <w:p w14:paraId="53C5D239" w14:textId="77777777" w:rsidR="00D10794" w:rsidRPr="008123F7" w:rsidRDefault="00D10794" w:rsidP="00D10794">
            <w:pPr>
              <w:spacing w:after="0"/>
              <w:jc w:val="center"/>
              <w:rPr>
                <w:rFonts w:eastAsia="Times New Roman" w:cs="Arial"/>
                <w:b/>
                <w:bCs/>
                <w:sz w:val="20"/>
                <w:szCs w:val="20"/>
                <w:lang w:eastAsia="en-GB"/>
              </w:rPr>
            </w:pPr>
            <w:r w:rsidRPr="008123F7">
              <w:rPr>
                <w:rFonts w:eastAsia="Times New Roman" w:cs="Arial"/>
                <w:b/>
                <w:bCs/>
                <w:sz w:val="20"/>
                <w:szCs w:val="20"/>
                <w:lang w:eastAsia="en-GB"/>
              </w:rPr>
              <w:t>£m</w:t>
            </w:r>
          </w:p>
        </w:tc>
      </w:tr>
      <w:tr w:rsidR="002F12B1" w14:paraId="7B17F950"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1DEBC024"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Schools (</w:t>
            </w:r>
            <w:proofErr w:type="spellStart"/>
            <w:r w:rsidRPr="008123F7">
              <w:rPr>
                <w:rFonts w:eastAsia="Times New Roman" w:cs="Arial"/>
                <w:sz w:val="20"/>
                <w:szCs w:val="20"/>
                <w:lang w:eastAsia="en-GB"/>
              </w:rPr>
              <w:t>exc</w:t>
            </w:r>
            <w:proofErr w:type="spellEnd"/>
            <w:r w:rsidRPr="008123F7">
              <w:rPr>
                <w:rFonts w:eastAsia="Times New Roman" w:cs="Arial"/>
                <w:sz w:val="20"/>
                <w:szCs w:val="20"/>
                <w:lang w:eastAsia="en-GB"/>
              </w:rPr>
              <w:t xml:space="preserve"> DFC)</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7836E16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-3.781 </w:t>
            </w:r>
          </w:p>
        </w:tc>
        <w:tc>
          <w:tcPr>
            <w:tcW w:w="1440" w:type="dxa"/>
            <w:tcBorders>
              <w:top w:val="nil"/>
              <w:left w:val="nil"/>
              <w:bottom w:val="single" w:sz="4" w:space="0" w:color="auto"/>
              <w:right w:val="single" w:sz="4" w:space="0" w:color="auto"/>
            </w:tcBorders>
            <w:shd w:val="clear" w:color="auto" w:fill="auto"/>
            <w:noWrap/>
            <w:vAlign w:val="bottom"/>
            <w:hideMark/>
          </w:tcPr>
          <w:p w14:paraId="6C71C1FF"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-0.303 </w:t>
            </w:r>
          </w:p>
        </w:tc>
        <w:tc>
          <w:tcPr>
            <w:tcW w:w="1440" w:type="dxa"/>
            <w:tcBorders>
              <w:top w:val="nil"/>
              <w:left w:val="nil"/>
              <w:bottom w:val="single" w:sz="4" w:space="0" w:color="auto"/>
              <w:right w:val="single" w:sz="4" w:space="0" w:color="auto"/>
            </w:tcBorders>
            <w:shd w:val="clear" w:color="auto" w:fill="auto"/>
            <w:noWrap/>
            <w:vAlign w:val="bottom"/>
            <w:hideMark/>
          </w:tcPr>
          <w:p w14:paraId="632C397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0.006 </w:t>
            </w:r>
          </w:p>
        </w:tc>
        <w:tc>
          <w:tcPr>
            <w:tcW w:w="1507" w:type="dxa"/>
            <w:tcBorders>
              <w:top w:val="nil"/>
              <w:left w:val="nil"/>
              <w:bottom w:val="single" w:sz="4" w:space="0" w:color="auto"/>
              <w:right w:val="single" w:sz="4" w:space="0" w:color="auto"/>
            </w:tcBorders>
            <w:shd w:val="clear" w:color="auto" w:fill="auto"/>
            <w:noWrap/>
            <w:vAlign w:val="bottom"/>
            <w:hideMark/>
          </w:tcPr>
          <w:p w14:paraId="32A55E60"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-5.610 </w:t>
            </w:r>
          </w:p>
        </w:tc>
        <w:tc>
          <w:tcPr>
            <w:tcW w:w="1507" w:type="dxa"/>
            <w:tcBorders>
              <w:top w:val="nil"/>
              <w:left w:val="nil"/>
              <w:bottom w:val="single" w:sz="4" w:space="0" w:color="auto"/>
              <w:right w:val="single" w:sz="4" w:space="0" w:color="auto"/>
            </w:tcBorders>
            <w:shd w:val="clear" w:color="auto" w:fill="auto"/>
            <w:noWrap/>
            <w:vAlign w:val="bottom"/>
            <w:hideMark/>
          </w:tcPr>
          <w:p w14:paraId="0D22620B"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2.126 </w:t>
            </w:r>
          </w:p>
        </w:tc>
      </w:tr>
      <w:tr w:rsidR="002F12B1" w14:paraId="53502D55"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61C4708A"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Schools DFC</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481E4F5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0.572 </w:t>
            </w:r>
          </w:p>
        </w:tc>
        <w:tc>
          <w:tcPr>
            <w:tcW w:w="1440" w:type="dxa"/>
            <w:tcBorders>
              <w:top w:val="nil"/>
              <w:left w:val="nil"/>
              <w:bottom w:val="single" w:sz="4" w:space="0" w:color="auto"/>
              <w:right w:val="single" w:sz="4" w:space="0" w:color="auto"/>
            </w:tcBorders>
            <w:shd w:val="clear" w:color="auto" w:fill="auto"/>
            <w:noWrap/>
            <w:vAlign w:val="bottom"/>
            <w:hideMark/>
          </w:tcPr>
          <w:p w14:paraId="4DD6F4C7"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4A79624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2DBB9ABA"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112BAB1D"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0.572 </w:t>
            </w:r>
          </w:p>
        </w:tc>
      </w:tr>
      <w:tr w:rsidR="002F12B1" w14:paraId="037BE27A"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45E7FFC1"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Children and Young People</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704B5BD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0.037 </w:t>
            </w:r>
          </w:p>
        </w:tc>
        <w:tc>
          <w:tcPr>
            <w:tcW w:w="1440" w:type="dxa"/>
            <w:tcBorders>
              <w:top w:val="nil"/>
              <w:left w:val="nil"/>
              <w:bottom w:val="single" w:sz="4" w:space="0" w:color="auto"/>
              <w:right w:val="single" w:sz="4" w:space="0" w:color="auto"/>
            </w:tcBorders>
            <w:shd w:val="clear" w:color="auto" w:fill="auto"/>
            <w:noWrap/>
            <w:vAlign w:val="bottom"/>
            <w:hideMark/>
          </w:tcPr>
          <w:p w14:paraId="160F20F3"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5D6FB5A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2198F4C1"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-0.016 </w:t>
            </w:r>
          </w:p>
        </w:tc>
        <w:tc>
          <w:tcPr>
            <w:tcW w:w="1507" w:type="dxa"/>
            <w:tcBorders>
              <w:top w:val="nil"/>
              <w:left w:val="nil"/>
              <w:bottom w:val="single" w:sz="4" w:space="0" w:color="auto"/>
              <w:right w:val="single" w:sz="4" w:space="0" w:color="auto"/>
            </w:tcBorders>
            <w:shd w:val="clear" w:color="auto" w:fill="auto"/>
            <w:noWrap/>
            <w:vAlign w:val="bottom"/>
            <w:hideMark/>
          </w:tcPr>
          <w:p w14:paraId="03F25A3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0.053 </w:t>
            </w:r>
          </w:p>
        </w:tc>
      </w:tr>
      <w:tr w:rsidR="002F12B1" w14:paraId="5884C555"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42AC046A"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Highways</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5C3222C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3.479 </w:t>
            </w:r>
          </w:p>
        </w:tc>
        <w:tc>
          <w:tcPr>
            <w:tcW w:w="1440" w:type="dxa"/>
            <w:tcBorders>
              <w:top w:val="nil"/>
              <w:left w:val="nil"/>
              <w:bottom w:val="single" w:sz="4" w:space="0" w:color="auto"/>
              <w:right w:val="single" w:sz="4" w:space="0" w:color="auto"/>
            </w:tcBorders>
            <w:shd w:val="clear" w:color="auto" w:fill="auto"/>
            <w:noWrap/>
            <w:vAlign w:val="bottom"/>
            <w:hideMark/>
          </w:tcPr>
          <w:p w14:paraId="0A6D4F6A"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-0.212 </w:t>
            </w:r>
          </w:p>
        </w:tc>
        <w:tc>
          <w:tcPr>
            <w:tcW w:w="1440" w:type="dxa"/>
            <w:tcBorders>
              <w:top w:val="nil"/>
              <w:left w:val="nil"/>
              <w:bottom w:val="single" w:sz="4" w:space="0" w:color="auto"/>
              <w:right w:val="single" w:sz="4" w:space="0" w:color="auto"/>
            </w:tcBorders>
            <w:shd w:val="clear" w:color="auto" w:fill="auto"/>
            <w:noWrap/>
            <w:vAlign w:val="bottom"/>
            <w:hideMark/>
          </w:tcPr>
          <w:p w14:paraId="1E8C598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1.797 </w:t>
            </w:r>
          </w:p>
        </w:tc>
        <w:tc>
          <w:tcPr>
            <w:tcW w:w="1507" w:type="dxa"/>
            <w:tcBorders>
              <w:top w:val="nil"/>
              <w:left w:val="nil"/>
              <w:bottom w:val="single" w:sz="4" w:space="0" w:color="auto"/>
              <w:right w:val="single" w:sz="4" w:space="0" w:color="auto"/>
            </w:tcBorders>
            <w:shd w:val="clear" w:color="auto" w:fill="auto"/>
            <w:noWrap/>
            <w:vAlign w:val="bottom"/>
            <w:hideMark/>
          </w:tcPr>
          <w:p w14:paraId="095400A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-6.223 </w:t>
            </w:r>
          </w:p>
        </w:tc>
        <w:tc>
          <w:tcPr>
            <w:tcW w:w="1507" w:type="dxa"/>
            <w:tcBorders>
              <w:top w:val="nil"/>
              <w:left w:val="nil"/>
              <w:bottom w:val="single" w:sz="4" w:space="0" w:color="auto"/>
              <w:right w:val="single" w:sz="4" w:space="0" w:color="auto"/>
            </w:tcBorders>
            <w:shd w:val="clear" w:color="auto" w:fill="auto"/>
            <w:noWrap/>
            <w:vAlign w:val="bottom"/>
            <w:hideMark/>
          </w:tcPr>
          <w:p w14:paraId="76A95091"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8.117 </w:t>
            </w:r>
          </w:p>
        </w:tc>
      </w:tr>
      <w:tr w:rsidR="002F12B1" w14:paraId="597D04B5"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7893350D"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Transport</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4267387F"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-10.690 </w:t>
            </w:r>
          </w:p>
        </w:tc>
        <w:tc>
          <w:tcPr>
            <w:tcW w:w="1440" w:type="dxa"/>
            <w:tcBorders>
              <w:top w:val="nil"/>
              <w:left w:val="nil"/>
              <w:bottom w:val="single" w:sz="4" w:space="0" w:color="auto"/>
              <w:right w:val="single" w:sz="4" w:space="0" w:color="auto"/>
            </w:tcBorders>
            <w:shd w:val="clear" w:color="auto" w:fill="auto"/>
            <w:noWrap/>
            <w:vAlign w:val="bottom"/>
            <w:hideMark/>
          </w:tcPr>
          <w:p w14:paraId="0CEF34E2"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-0.306 </w:t>
            </w:r>
          </w:p>
        </w:tc>
        <w:tc>
          <w:tcPr>
            <w:tcW w:w="1440" w:type="dxa"/>
            <w:tcBorders>
              <w:top w:val="nil"/>
              <w:left w:val="nil"/>
              <w:bottom w:val="single" w:sz="4" w:space="0" w:color="auto"/>
              <w:right w:val="single" w:sz="4" w:space="0" w:color="auto"/>
            </w:tcBorders>
            <w:shd w:val="clear" w:color="auto" w:fill="auto"/>
            <w:noWrap/>
            <w:vAlign w:val="bottom"/>
            <w:hideMark/>
          </w:tcPr>
          <w:p w14:paraId="4FCC864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74488398"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-12.522 </w:t>
            </w:r>
          </w:p>
        </w:tc>
        <w:tc>
          <w:tcPr>
            <w:tcW w:w="1507" w:type="dxa"/>
            <w:tcBorders>
              <w:top w:val="nil"/>
              <w:left w:val="nil"/>
              <w:bottom w:val="single" w:sz="4" w:space="0" w:color="auto"/>
              <w:right w:val="single" w:sz="4" w:space="0" w:color="auto"/>
            </w:tcBorders>
            <w:shd w:val="clear" w:color="auto" w:fill="auto"/>
            <w:noWrap/>
            <w:vAlign w:val="bottom"/>
            <w:hideMark/>
          </w:tcPr>
          <w:p w14:paraId="1CED5FB3"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2.138 </w:t>
            </w:r>
          </w:p>
        </w:tc>
      </w:tr>
      <w:tr w:rsidR="002F12B1" w14:paraId="6CB588E8"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2C2A73D0"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Externally Funded</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73A9C727"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-3.256 </w:t>
            </w:r>
          </w:p>
        </w:tc>
        <w:tc>
          <w:tcPr>
            <w:tcW w:w="1440" w:type="dxa"/>
            <w:tcBorders>
              <w:top w:val="nil"/>
              <w:left w:val="nil"/>
              <w:bottom w:val="single" w:sz="4" w:space="0" w:color="auto"/>
              <w:right w:val="single" w:sz="4" w:space="0" w:color="auto"/>
            </w:tcBorders>
            <w:shd w:val="clear" w:color="auto" w:fill="auto"/>
            <w:noWrap/>
            <w:vAlign w:val="bottom"/>
            <w:hideMark/>
          </w:tcPr>
          <w:p w14:paraId="534A262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-0.286 </w:t>
            </w:r>
          </w:p>
        </w:tc>
        <w:tc>
          <w:tcPr>
            <w:tcW w:w="1440" w:type="dxa"/>
            <w:tcBorders>
              <w:top w:val="nil"/>
              <w:left w:val="nil"/>
              <w:bottom w:val="single" w:sz="4" w:space="0" w:color="auto"/>
              <w:right w:val="single" w:sz="4" w:space="0" w:color="auto"/>
            </w:tcBorders>
            <w:shd w:val="clear" w:color="auto" w:fill="auto"/>
            <w:noWrap/>
            <w:vAlign w:val="bottom"/>
            <w:hideMark/>
          </w:tcPr>
          <w:p w14:paraId="5EA6206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0.013 </w:t>
            </w:r>
          </w:p>
        </w:tc>
        <w:tc>
          <w:tcPr>
            <w:tcW w:w="1507" w:type="dxa"/>
            <w:tcBorders>
              <w:top w:val="nil"/>
              <w:left w:val="nil"/>
              <w:bottom w:val="single" w:sz="4" w:space="0" w:color="auto"/>
              <w:right w:val="single" w:sz="4" w:space="0" w:color="auto"/>
            </w:tcBorders>
            <w:shd w:val="clear" w:color="auto" w:fill="auto"/>
            <w:noWrap/>
            <w:vAlign w:val="bottom"/>
            <w:hideMark/>
          </w:tcPr>
          <w:p w14:paraId="2635C36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-3.005 </w:t>
            </w:r>
          </w:p>
        </w:tc>
        <w:tc>
          <w:tcPr>
            <w:tcW w:w="1507" w:type="dxa"/>
            <w:tcBorders>
              <w:top w:val="nil"/>
              <w:left w:val="nil"/>
              <w:bottom w:val="single" w:sz="4" w:space="0" w:color="auto"/>
              <w:right w:val="single" w:sz="4" w:space="0" w:color="auto"/>
            </w:tcBorders>
            <w:shd w:val="clear" w:color="auto" w:fill="auto"/>
            <w:noWrap/>
            <w:vAlign w:val="bottom"/>
            <w:hideMark/>
          </w:tcPr>
          <w:p w14:paraId="7796BBF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0.022 </w:t>
            </w:r>
          </w:p>
        </w:tc>
      </w:tr>
      <w:tr w:rsidR="002F12B1" w14:paraId="0E1650BB"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0B52237F"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Waste and Other</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69287250"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4FB6433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1E3DCB95"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43B7DFDB"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0013AE67"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r>
      <w:tr w:rsidR="002F12B1" w14:paraId="3B019039"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0923C8F7"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Adults Social Care</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3CE16140"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-0.826 </w:t>
            </w:r>
          </w:p>
        </w:tc>
        <w:tc>
          <w:tcPr>
            <w:tcW w:w="1440" w:type="dxa"/>
            <w:tcBorders>
              <w:top w:val="nil"/>
              <w:left w:val="nil"/>
              <w:bottom w:val="single" w:sz="4" w:space="0" w:color="auto"/>
              <w:right w:val="single" w:sz="4" w:space="0" w:color="auto"/>
            </w:tcBorders>
            <w:shd w:val="clear" w:color="auto" w:fill="auto"/>
            <w:noWrap/>
            <w:vAlign w:val="bottom"/>
            <w:hideMark/>
          </w:tcPr>
          <w:p w14:paraId="2D5C9A67"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-0.001 </w:t>
            </w:r>
          </w:p>
        </w:tc>
        <w:tc>
          <w:tcPr>
            <w:tcW w:w="1440" w:type="dxa"/>
            <w:tcBorders>
              <w:top w:val="nil"/>
              <w:left w:val="nil"/>
              <w:bottom w:val="single" w:sz="4" w:space="0" w:color="auto"/>
              <w:right w:val="single" w:sz="4" w:space="0" w:color="auto"/>
            </w:tcBorders>
            <w:shd w:val="clear" w:color="auto" w:fill="auto"/>
            <w:noWrap/>
            <w:vAlign w:val="bottom"/>
            <w:hideMark/>
          </w:tcPr>
          <w:p w14:paraId="549C33FD"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07835132"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-0.950 </w:t>
            </w:r>
          </w:p>
        </w:tc>
        <w:tc>
          <w:tcPr>
            <w:tcW w:w="1507" w:type="dxa"/>
            <w:tcBorders>
              <w:top w:val="nil"/>
              <w:left w:val="nil"/>
              <w:bottom w:val="single" w:sz="4" w:space="0" w:color="auto"/>
              <w:right w:val="single" w:sz="4" w:space="0" w:color="auto"/>
            </w:tcBorders>
            <w:shd w:val="clear" w:color="auto" w:fill="auto"/>
            <w:noWrap/>
            <w:vAlign w:val="bottom"/>
            <w:hideMark/>
          </w:tcPr>
          <w:p w14:paraId="53CEAE4D"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0.125 </w:t>
            </w:r>
          </w:p>
        </w:tc>
      </w:tr>
      <w:tr w:rsidR="002F12B1" w14:paraId="5FB2854F"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4606A2CA"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 xml:space="preserve">Corporate </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079FEF2F"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-9.241 </w:t>
            </w:r>
          </w:p>
        </w:tc>
        <w:tc>
          <w:tcPr>
            <w:tcW w:w="1440" w:type="dxa"/>
            <w:tcBorders>
              <w:top w:val="nil"/>
              <w:left w:val="nil"/>
              <w:bottom w:val="single" w:sz="4" w:space="0" w:color="auto"/>
              <w:right w:val="single" w:sz="4" w:space="0" w:color="auto"/>
            </w:tcBorders>
            <w:shd w:val="clear" w:color="auto" w:fill="auto"/>
            <w:noWrap/>
            <w:vAlign w:val="bottom"/>
            <w:hideMark/>
          </w:tcPr>
          <w:p w14:paraId="1DA7A2B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-0.466 </w:t>
            </w:r>
          </w:p>
        </w:tc>
        <w:tc>
          <w:tcPr>
            <w:tcW w:w="1440" w:type="dxa"/>
            <w:tcBorders>
              <w:top w:val="nil"/>
              <w:left w:val="nil"/>
              <w:bottom w:val="single" w:sz="4" w:space="0" w:color="auto"/>
              <w:right w:val="single" w:sz="4" w:space="0" w:color="auto"/>
            </w:tcBorders>
            <w:shd w:val="clear" w:color="auto" w:fill="auto"/>
            <w:noWrap/>
            <w:vAlign w:val="bottom"/>
            <w:hideMark/>
          </w:tcPr>
          <w:p w14:paraId="4319E247"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0.272 </w:t>
            </w:r>
          </w:p>
        </w:tc>
        <w:tc>
          <w:tcPr>
            <w:tcW w:w="1507" w:type="dxa"/>
            <w:tcBorders>
              <w:top w:val="nil"/>
              <w:left w:val="nil"/>
              <w:bottom w:val="single" w:sz="4" w:space="0" w:color="auto"/>
              <w:right w:val="single" w:sz="4" w:space="0" w:color="auto"/>
            </w:tcBorders>
            <w:shd w:val="clear" w:color="auto" w:fill="auto"/>
            <w:noWrap/>
            <w:vAlign w:val="bottom"/>
            <w:hideMark/>
          </w:tcPr>
          <w:p w14:paraId="530AA68B"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-10.006 </w:t>
            </w:r>
          </w:p>
        </w:tc>
        <w:tc>
          <w:tcPr>
            <w:tcW w:w="1507" w:type="dxa"/>
            <w:tcBorders>
              <w:top w:val="nil"/>
              <w:left w:val="nil"/>
              <w:bottom w:val="single" w:sz="4" w:space="0" w:color="auto"/>
              <w:right w:val="single" w:sz="4" w:space="0" w:color="auto"/>
            </w:tcBorders>
            <w:shd w:val="clear" w:color="auto" w:fill="auto"/>
            <w:noWrap/>
            <w:vAlign w:val="bottom"/>
            <w:hideMark/>
          </w:tcPr>
          <w:p w14:paraId="5AA3F9C9"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0.959 </w:t>
            </w:r>
          </w:p>
        </w:tc>
      </w:tr>
      <w:tr w:rsidR="002F12B1" w14:paraId="33A76141"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5EB11A1D"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Economic Development</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4B43B263"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-4.424 </w:t>
            </w:r>
          </w:p>
        </w:tc>
        <w:tc>
          <w:tcPr>
            <w:tcW w:w="1440" w:type="dxa"/>
            <w:tcBorders>
              <w:top w:val="nil"/>
              <w:left w:val="nil"/>
              <w:bottom w:val="single" w:sz="4" w:space="0" w:color="auto"/>
              <w:right w:val="single" w:sz="4" w:space="0" w:color="auto"/>
            </w:tcBorders>
            <w:shd w:val="clear" w:color="auto" w:fill="auto"/>
            <w:noWrap/>
            <w:vAlign w:val="bottom"/>
            <w:hideMark/>
          </w:tcPr>
          <w:p w14:paraId="7F1F505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-0.085 </w:t>
            </w:r>
          </w:p>
        </w:tc>
        <w:tc>
          <w:tcPr>
            <w:tcW w:w="1440" w:type="dxa"/>
            <w:tcBorders>
              <w:top w:val="nil"/>
              <w:left w:val="nil"/>
              <w:bottom w:val="single" w:sz="4" w:space="0" w:color="auto"/>
              <w:right w:val="single" w:sz="4" w:space="0" w:color="auto"/>
            </w:tcBorders>
            <w:shd w:val="clear" w:color="auto" w:fill="auto"/>
            <w:noWrap/>
            <w:vAlign w:val="bottom"/>
            <w:hideMark/>
          </w:tcPr>
          <w:p w14:paraId="6F5AD5CD"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0AC90765"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-6.076 </w:t>
            </w:r>
          </w:p>
        </w:tc>
        <w:tc>
          <w:tcPr>
            <w:tcW w:w="1507" w:type="dxa"/>
            <w:tcBorders>
              <w:top w:val="nil"/>
              <w:left w:val="nil"/>
              <w:bottom w:val="single" w:sz="4" w:space="0" w:color="auto"/>
              <w:right w:val="single" w:sz="4" w:space="0" w:color="auto"/>
            </w:tcBorders>
            <w:shd w:val="clear" w:color="auto" w:fill="auto"/>
            <w:noWrap/>
            <w:vAlign w:val="bottom"/>
            <w:hideMark/>
          </w:tcPr>
          <w:p w14:paraId="5D2D732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1.737 </w:t>
            </w:r>
          </w:p>
        </w:tc>
      </w:tr>
      <w:tr w:rsidR="002F12B1" w14:paraId="02286BBB"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374ADC65"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Vehicles</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4DF5EA1A"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-1.922 </w:t>
            </w:r>
          </w:p>
        </w:tc>
        <w:tc>
          <w:tcPr>
            <w:tcW w:w="1440" w:type="dxa"/>
            <w:tcBorders>
              <w:top w:val="nil"/>
              <w:left w:val="nil"/>
              <w:bottom w:val="single" w:sz="4" w:space="0" w:color="auto"/>
              <w:right w:val="single" w:sz="4" w:space="0" w:color="auto"/>
            </w:tcBorders>
            <w:shd w:val="clear" w:color="auto" w:fill="auto"/>
            <w:noWrap/>
            <w:vAlign w:val="bottom"/>
            <w:hideMark/>
          </w:tcPr>
          <w:p w14:paraId="6E22D85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49D3375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46FF9AAA"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-1.922 </w:t>
            </w:r>
          </w:p>
        </w:tc>
        <w:tc>
          <w:tcPr>
            <w:tcW w:w="1507" w:type="dxa"/>
            <w:tcBorders>
              <w:top w:val="nil"/>
              <w:left w:val="nil"/>
              <w:bottom w:val="single" w:sz="4" w:space="0" w:color="auto"/>
              <w:right w:val="single" w:sz="4" w:space="0" w:color="auto"/>
            </w:tcBorders>
            <w:shd w:val="clear" w:color="auto" w:fill="auto"/>
            <w:noWrap/>
            <w:vAlign w:val="bottom"/>
            <w:hideMark/>
          </w:tcPr>
          <w:p w14:paraId="56DD4838"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r>
      <w:tr w:rsidR="002F12B1" w14:paraId="42B352DA" w14:textId="77777777" w:rsidTr="00D10794">
        <w:trPr>
          <w:trHeight w:val="231"/>
        </w:trPr>
        <w:tc>
          <w:tcPr>
            <w:tcW w:w="2136" w:type="dxa"/>
            <w:tcBorders>
              <w:top w:val="nil"/>
              <w:left w:val="single" w:sz="4" w:space="0" w:color="auto"/>
              <w:bottom w:val="single" w:sz="4" w:space="0" w:color="auto"/>
              <w:right w:val="nil"/>
            </w:tcBorders>
            <w:shd w:val="clear" w:color="auto" w:fill="auto"/>
            <w:noWrap/>
            <w:vAlign w:val="center"/>
            <w:hideMark/>
          </w:tcPr>
          <w:p w14:paraId="63B9A12D" w14:textId="77777777" w:rsidR="00D10794" w:rsidRPr="008123F7" w:rsidRDefault="00D10794" w:rsidP="00D10794">
            <w:pPr>
              <w:spacing w:after="0"/>
              <w:rPr>
                <w:rFonts w:eastAsia="Times New Roman" w:cs="Arial"/>
                <w:sz w:val="20"/>
                <w:szCs w:val="20"/>
                <w:lang w:eastAsia="en-GB"/>
              </w:rPr>
            </w:pPr>
            <w:r w:rsidRPr="008123F7">
              <w:rPr>
                <w:rFonts w:eastAsia="Times New Roman" w:cs="Arial"/>
                <w:sz w:val="20"/>
                <w:szCs w:val="20"/>
                <w:lang w:eastAsia="en-GB"/>
              </w:rPr>
              <w:t>Transforming Cities</w:t>
            </w:r>
          </w:p>
        </w:tc>
        <w:tc>
          <w:tcPr>
            <w:tcW w:w="1424" w:type="dxa"/>
            <w:tcBorders>
              <w:top w:val="nil"/>
              <w:left w:val="single" w:sz="4" w:space="0" w:color="auto"/>
              <w:bottom w:val="single" w:sz="4" w:space="0" w:color="auto"/>
              <w:right w:val="single" w:sz="4" w:space="0" w:color="auto"/>
            </w:tcBorders>
            <w:shd w:val="clear" w:color="000000" w:fill="D9D9D9"/>
            <w:noWrap/>
            <w:vAlign w:val="bottom"/>
            <w:hideMark/>
          </w:tcPr>
          <w:p w14:paraId="636916B0"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-2.558 </w:t>
            </w:r>
          </w:p>
        </w:tc>
        <w:tc>
          <w:tcPr>
            <w:tcW w:w="1440" w:type="dxa"/>
            <w:tcBorders>
              <w:top w:val="nil"/>
              <w:left w:val="nil"/>
              <w:bottom w:val="single" w:sz="4" w:space="0" w:color="auto"/>
              <w:right w:val="single" w:sz="4" w:space="0" w:color="auto"/>
            </w:tcBorders>
            <w:shd w:val="clear" w:color="auto" w:fill="auto"/>
            <w:noWrap/>
            <w:vAlign w:val="bottom"/>
            <w:hideMark/>
          </w:tcPr>
          <w:p w14:paraId="51983886"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440" w:type="dxa"/>
            <w:tcBorders>
              <w:top w:val="nil"/>
              <w:left w:val="nil"/>
              <w:bottom w:val="single" w:sz="4" w:space="0" w:color="auto"/>
              <w:right w:val="single" w:sz="4" w:space="0" w:color="auto"/>
            </w:tcBorders>
            <w:shd w:val="clear" w:color="auto" w:fill="auto"/>
            <w:noWrap/>
            <w:vAlign w:val="bottom"/>
            <w:hideMark/>
          </w:tcPr>
          <w:p w14:paraId="57BD5DAC"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c>
          <w:tcPr>
            <w:tcW w:w="1507" w:type="dxa"/>
            <w:tcBorders>
              <w:top w:val="nil"/>
              <w:left w:val="nil"/>
              <w:bottom w:val="single" w:sz="4" w:space="0" w:color="auto"/>
              <w:right w:val="single" w:sz="4" w:space="0" w:color="auto"/>
            </w:tcBorders>
            <w:shd w:val="clear" w:color="auto" w:fill="auto"/>
            <w:noWrap/>
            <w:vAlign w:val="bottom"/>
            <w:hideMark/>
          </w:tcPr>
          <w:p w14:paraId="16BF6608"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-2.558 </w:t>
            </w:r>
          </w:p>
        </w:tc>
        <w:tc>
          <w:tcPr>
            <w:tcW w:w="1507" w:type="dxa"/>
            <w:tcBorders>
              <w:top w:val="nil"/>
              <w:left w:val="nil"/>
              <w:bottom w:val="single" w:sz="4" w:space="0" w:color="auto"/>
              <w:right w:val="single" w:sz="4" w:space="0" w:color="auto"/>
            </w:tcBorders>
            <w:shd w:val="clear" w:color="auto" w:fill="auto"/>
            <w:noWrap/>
            <w:vAlign w:val="bottom"/>
            <w:hideMark/>
          </w:tcPr>
          <w:p w14:paraId="47B9EC84" w14:textId="77777777" w:rsidR="00D10794" w:rsidRPr="008123F7" w:rsidRDefault="00D10794" w:rsidP="00D10794">
            <w:pPr>
              <w:spacing w:after="0"/>
              <w:jc w:val="right"/>
              <w:rPr>
                <w:rFonts w:eastAsia="Times New Roman" w:cs="Arial"/>
                <w:sz w:val="20"/>
                <w:szCs w:val="20"/>
                <w:lang w:eastAsia="en-GB"/>
              </w:rPr>
            </w:pPr>
            <w:r w:rsidRPr="008123F7">
              <w:rPr>
                <w:rFonts w:eastAsia="Times New Roman" w:cs="Arial"/>
                <w:sz w:val="20"/>
                <w:szCs w:val="20"/>
                <w:lang w:eastAsia="en-GB"/>
              </w:rPr>
              <w:t xml:space="preserve">0.000 </w:t>
            </w:r>
          </w:p>
        </w:tc>
      </w:tr>
      <w:tr w:rsidR="002F12B1" w14:paraId="4CC8BCA7" w14:textId="77777777" w:rsidTr="00D10794">
        <w:trPr>
          <w:trHeight w:val="231"/>
        </w:trPr>
        <w:tc>
          <w:tcPr>
            <w:tcW w:w="2136" w:type="dxa"/>
            <w:tcBorders>
              <w:top w:val="nil"/>
              <w:left w:val="single" w:sz="4" w:space="0" w:color="auto"/>
              <w:bottom w:val="single" w:sz="4" w:space="0" w:color="auto"/>
              <w:right w:val="single" w:sz="4" w:space="0" w:color="auto"/>
            </w:tcBorders>
            <w:shd w:val="clear" w:color="auto" w:fill="auto"/>
            <w:noWrap/>
            <w:vAlign w:val="center"/>
            <w:hideMark/>
          </w:tcPr>
          <w:p w14:paraId="747E594C" w14:textId="77777777" w:rsidR="00D10794" w:rsidRPr="008123F7" w:rsidRDefault="00D10794" w:rsidP="00D10794">
            <w:pPr>
              <w:spacing w:after="0"/>
              <w:rPr>
                <w:rFonts w:eastAsia="Times New Roman" w:cs="Arial"/>
                <w:b/>
                <w:bCs/>
                <w:sz w:val="20"/>
                <w:szCs w:val="20"/>
                <w:lang w:eastAsia="en-GB"/>
              </w:rPr>
            </w:pPr>
            <w:r w:rsidRPr="008123F7">
              <w:rPr>
                <w:rFonts w:eastAsia="Times New Roman" w:cs="Arial"/>
                <w:b/>
                <w:bCs/>
                <w:sz w:val="20"/>
                <w:szCs w:val="20"/>
                <w:lang w:eastAsia="en-GB"/>
              </w:rPr>
              <w:t>Totals</w:t>
            </w:r>
          </w:p>
        </w:tc>
        <w:tc>
          <w:tcPr>
            <w:tcW w:w="1424" w:type="dxa"/>
            <w:tcBorders>
              <w:top w:val="nil"/>
              <w:left w:val="nil"/>
              <w:bottom w:val="single" w:sz="4" w:space="0" w:color="auto"/>
              <w:right w:val="single" w:sz="4" w:space="0" w:color="auto"/>
            </w:tcBorders>
            <w:shd w:val="clear" w:color="000000" w:fill="D9D9D9"/>
            <w:noWrap/>
            <w:vAlign w:val="bottom"/>
            <w:hideMark/>
          </w:tcPr>
          <w:p w14:paraId="2E34AC3A" w14:textId="77777777" w:rsidR="00D10794" w:rsidRPr="008123F7" w:rsidRDefault="00D10794" w:rsidP="00D10794">
            <w:pPr>
              <w:spacing w:after="0"/>
              <w:jc w:val="right"/>
              <w:rPr>
                <w:rFonts w:eastAsia="Times New Roman" w:cs="Arial"/>
                <w:b/>
                <w:bCs/>
                <w:sz w:val="20"/>
                <w:szCs w:val="20"/>
                <w:lang w:eastAsia="en-GB"/>
              </w:rPr>
            </w:pPr>
            <w:r w:rsidRPr="008123F7">
              <w:rPr>
                <w:rFonts w:eastAsia="Times New Roman" w:cs="Arial"/>
                <w:b/>
                <w:bCs/>
                <w:sz w:val="20"/>
                <w:szCs w:val="20"/>
                <w:lang w:eastAsia="en-GB"/>
              </w:rPr>
              <w:t xml:space="preserve">-32.610 </w:t>
            </w:r>
          </w:p>
        </w:tc>
        <w:tc>
          <w:tcPr>
            <w:tcW w:w="1440" w:type="dxa"/>
            <w:tcBorders>
              <w:top w:val="nil"/>
              <w:left w:val="nil"/>
              <w:bottom w:val="single" w:sz="4" w:space="0" w:color="auto"/>
              <w:right w:val="single" w:sz="4" w:space="0" w:color="auto"/>
            </w:tcBorders>
            <w:shd w:val="clear" w:color="auto" w:fill="auto"/>
            <w:noWrap/>
            <w:vAlign w:val="bottom"/>
            <w:hideMark/>
          </w:tcPr>
          <w:p w14:paraId="35BFEB09" w14:textId="77777777" w:rsidR="00D10794" w:rsidRPr="008123F7" w:rsidRDefault="00D10794" w:rsidP="00D10794">
            <w:pPr>
              <w:spacing w:after="0"/>
              <w:jc w:val="right"/>
              <w:rPr>
                <w:rFonts w:eastAsia="Times New Roman" w:cs="Arial"/>
                <w:b/>
                <w:bCs/>
                <w:sz w:val="20"/>
                <w:szCs w:val="20"/>
                <w:lang w:eastAsia="en-GB"/>
              </w:rPr>
            </w:pPr>
            <w:r w:rsidRPr="008123F7">
              <w:rPr>
                <w:rFonts w:eastAsia="Times New Roman" w:cs="Arial"/>
                <w:b/>
                <w:bCs/>
                <w:sz w:val="20"/>
                <w:szCs w:val="20"/>
                <w:lang w:eastAsia="en-GB"/>
              </w:rPr>
              <w:t xml:space="preserve">-1.659 </w:t>
            </w:r>
          </w:p>
        </w:tc>
        <w:tc>
          <w:tcPr>
            <w:tcW w:w="1440" w:type="dxa"/>
            <w:tcBorders>
              <w:top w:val="nil"/>
              <w:left w:val="nil"/>
              <w:bottom w:val="single" w:sz="4" w:space="0" w:color="auto"/>
              <w:right w:val="single" w:sz="4" w:space="0" w:color="auto"/>
            </w:tcBorders>
            <w:shd w:val="clear" w:color="auto" w:fill="auto"/>
            <w:noWrap/>
            <w:vAlign w:val="bottom"/>
            <w:hideMark/>
          </w:tcPr>
          <w:p w14:paraId="1EA89A6E" w14:textId="77777777" w:rsidR="00D10794" w:rsidRPr="008123F7" w:rsidRDefault="00D10794" w:rsidP="00D10794">
            <w:pPr>
              <w:spacing w:after="0"/>
              <w:jc w:val="right"/>
              <w:rPr>
                <w:rFonts w:eastAsia="Times New Roman" w:cs="Arial"/>
                <w:b/>
                <w:bCs/>
                <w:sz w:val="20"/>
                <w:szCs w:val="20"/>
                <w:lang w:eastAsia="en-GB"/>
              </w:rPr>
            </w:pPr>
            <w:r w:rsidRPr="008123F7">
              <w:rPr>
                <w:rFonts w:eastAsia="Times New Roman" w:cs="Arial"/>
                <w:b/>
                <w:bCs/>
                <w:sz w:val="20"/>
                <w:szCs w:val="20"/>
                <w:lang w:eastAsia="en-GB"/>
              </w:rPr>
              <w:t xml:space="preserve">2.088 </w:t>
            </w:r>
          </w:p>
        </w:tc>
        <w:tc>
          <w:tcPr>
            <w:tcW w:w="1507" w:type="dxa"/>
            <w:tcBorders>
              <w:top w:val="nil"/>
              <w:left w:val="nil"/>
              <w:bottom w:val="single" w:sz="4" w:space="0" w:color="auto"/>
              <w:right w:val="single" w:sz="4" w:space="0" w:color="auto"/>
            </w:tcBorders>
            <w:shd w:val="clear" w:color="auto" w:fill="auto"/>
            <w:noWrap/>
            <w:vAlign w:val="bottom"/>
            <w:hideMark/>
          </w:tcPr>
          <w:p w14:paraId="45391F7D" w14:textId="77777777" w:rsidR="00D10794" w:rsidRPr="008123F7" w:rsidRDefault="00D10794" w:rsidP="00D10794">
            <w:pPr>
              <w:spacing w:after="0"/>
              <w:jc w:val="right"/>
              <w:rPr>
                <w:rFonts w:eastAsia="Times New Roman" w:cs="Arial"/>
                <w:b/>
                <w:bCs/>
                <w:sz w:val="20"/>
                <w:szCs w:val="20"/>
                <w:lang w:eastAsia="en-GB"/>
              </w:rPr>
            </w:pPr>
            <w:r w:rsidRPr="008123F7">
              <w:rPr>
                <w:rFonts w:eastAsia="Times New Roman" w:cs="Arial"/>
                <w:b/>
                <w:bCs/>
                <w:sz w:val="20"/>
                <w:szCs w:val="20"/>
                <w:lang w:eastAsia="en-GB"/>
              </w:rPr>
              <w:t xml:space="preserve">-48.888 </w:t>
            </w:r>
          </w:p>
        </w:tc>
        <w:tc>
          <w:tcPr>
            <w:tcW w:w="1507" w:type="dxa"/>
            <w:tcBorders>
              <w:top w:val="nil"/>
              <w:left w:val="nil"/>
              <w:bottom w:val="single" w:sz="4" w:space="0" w:color="auto"/>
              <w:right w:val="single" w:sz="4" w:space="0" w:color="auto"/>
            </w:tcBorders>
            <w:shd w:val="clear" w:color="auto" w:fill="auto"/>
            <w:noWrap/>
            <w:vAlign w:val="bottom"/>
            <w:hideMark/>
          </w:tcPr>
          <w:p w14:paraId="3B79DAB9" w14:textId="77777777" w:rsidR="00D10794" w:rsidRPr="008123F7" w:rsidRDefault="00D10794" w:rsidP="00D10794">
            <w:pPr>
              <w:spacing w:after="0"/>
              <w:jc w:val="right"/>
              <w:rPr>
                <w:rFonts w:eastAsia="Times New Roman" w:cs="Arial"/>
                <w:b/>
                <w:bCs/>
                <w:sz w:val="20"/>
                <w:szCs w:val="20"/>
                <w:lang w:eastAsia="en-GB"/>
              </w:rPr>
            </w:pPr>
            <w:r w:rsidRPr="008123F7">
              <w:rPr>
                <w:rFonts w:eastAsia="Times New Roman" w:cs="Arial"/>
                <w:b/>
                <w:bCs/>
                <w:sz w:val="20"/>
                <w:szCs w:val="20"/>
                <w:lang w:eastAsia="en-GB"/>
              </w:rPr>
              <w:t xml:space="preserve">15.849 </w:t>
            </w:r>
          </w:p>
        </w:tc>
      </w:tr>
    </w:tbl>
    <w:p w14:paraId="4BFA3D84" w14:textId="77777777" w:rsidR="00D10794" w:rsidRDefault="00D10794" w:rsidP="00D10794">
      <w:pPr>
        <w:spacing w:after="0"/>
        <w:rPr>
          <w:rFonts w:cstheme="minorHAnsi"/>
          <w:b/>
        </w:rPr>
      </w:pPr>
    </w:p>
    <w:p w14:paraId="5A16CB8A" w14:textId="77777777" w:rsidR="00D10794" w:rsidRDefault="00D10794" w:rsidP="00D10794">
      <w:pPr>
        <w:spacing w:after="0"/>
        <w:rPr>
          <w:rFonts w:cstheme="minorHAnsi"/>
          <w:color w:val="000000" w:themeColor="text1"/>
        </w:rPr>
      </w:pPr>
      <w:r w:rsidRPr="002C1922">
        <w:rPr>
          <w:rFonts w:cstheme="minorHAnsi"/>
          <w:color w:val="000000" w:themeColor="text1"/>
        </w:rPr>
        <w:t>Underspends and potential underspends cover schemes that are forecast to be completed under budget. As per the capital financial regulations, these underspends can be repurposed within the same programme to allow for additional spend on other projects</w:t>
      </w:r>
      <w:r>
        <w:rPr>
          <w:rFonts w:cstheme="minorHAnsi"/>
          <w:color w:val="000000" w:themeColor="text1"/>
        </w:rPr>
        <w:t>.</w:t>
      </w:r>
    </w:p>
    <w:p w14:paraId="378B5E20" w14:textId="77777777" w:rsidR="00D10794" w:rsidRPr="002C1922" w:rsidRDefault="00D10794" w:rsidP="00D10794">
      <w:pPr>
        <w:spacing w:after="0"/>
        <w:rPr>
          <w:rFonts w:cstheme="minorHAnsi"/>
          <w:color w:val="000000" w:themeColor="text1"/>
        </w:rPr>
      </w:pPr>
    </w:p>
    <w:p w14:paraId="78A6C82A" w14:textId="77777777" w:rsidR="00D10794" w:rsidRDefault="00D10794" w:rsidP="00D10794">
      <w:pPr>
        <w:spacing w:after="0"/>
        <w:rPr>
          <w:rFonts w:cstheme="minorHAnsi"/>
          <w:color w:val="000000" w:themeColor="text1"/>
        </w:rPr>
      </w:pPr>
      <w:r w:rsidRPr="002C1922">
        <w:rPr>
          <w:rFonts w:cstheme="minorHAnsi"/>
          <w:color w:val="000000" w:themeColor="text1"/>
        </w:rPr>
        <w:t xml:space="preserve">Overspends and potential overspends cover schemes that are forecast to be completed over budget.  As per the capital financial regulations, these underspends can be covered through repurposed monies within the same programme.   </w:t>
      </w:r>
    </w:p>
    <w:p w14:paraId="3159EB98" w14:textId="77777777" w:rsidR="00D10794" w:rsidRPr="002C1922" w:rsidRDefault="00D10794" w:rsidP="00D10794">
      <w:pPr>
        <w:spacing w:after="0"/>
        <w:rPr>
          <w:rFonts w:cstheme="minorHAnsi"/>
          <w:color w:val="000000" w:themeColor="text1"/>
        </w:rPr>
      </w:pPr>
    </w:p>
    <w:p w14:paraId="61AFF544" w14:textId="77777777" w:rsidR="00D10794" w:rsidRDefault="00D10794" w:rsidP="00D10794">
      <w:pPr>
        <w:spacing w:after="0"/>
        <w:rPr>
          <w:rFonts w:cstheme="minorHAnsi"/>
          <w:color w:val="000000" w:themeColor="text1"/>
        </w:rPr>
      </w:pPr>
      <w:r w:rsidRPr="002C1922">
        <w:rPr>
          <w:rFonts w:cstheme="minorHAnsi"/>
          <w:color w:val="000000" w:themeColor="text1"/>
        </w:rPr>
        <w:t>Slipped delivery covers expenditure that was originally forecast to be incurred in 2020</w:t>
      </w:r>
      <w:r>
        <w:rPr>
          <w:rFonts w:cstheme="minorHAnsi"/>
          <w:color w:val="000000" w:themeColor="text1"/>
        </w:rPr>
        <w:t>/21</w:t>
      </w:r>
      <w:r w:rsidRPr="002C1922">
        <w:rPr>
          <w:rFonts w:cstheme="minorHAnsi"/>
          <w:color w:val="000000" w:themeColor="text1"/>
        </w:rPr>
        <w:t xml:space="preserve"> but is now forecast to be slipped into later years.</w:t>
      </w:r>
    </w:p>
    <w:p w14:paraId="366123BF" w14:textId="77777777" w:rsidR="00D10794" w:rsidRPr="002C1922" w:rsidRDefault="00D10794" w:rsidP="00D10794">
      <w:pPr>
        <w:spacing w:after="0"/>
        <w:rPr>
          <w:rFonts w:cstheme="minorHAnsi"/>
          <w:color w:val="000000" w:themeColor="text1"/>
        </w:rPr>
      </w:pPr>
    </w:p>
    <w:p w14:paraId="47A51B65" w14:textId="77777777" w:rsidR="00D10794" w:rsidRDefault="00D10794" w:rsidP="00D10794">
      <w:pPr>
        <w:spacing w:after="0"/>
        <w:rPr>
          <w:rFonts w:cstheme="minorHAnsi"/>
          <w:color w:val="000000" w:themeColor="text1"/>
        </w:rPr>
      </w:pPr>
      <w:r w:rsidRPr="002C1922">
        <w:rPr>
          <w:rFonts w:cstheme="minorHAnsi"/>
          <w:color w:val="000000" w:themeColor="text1"/>
        </w:rPr>
        <w:t>Earlier than profiled delivery covers expenditure on schemes within the approved multi-year programme but not originally scheduled in the current year delivery programme.</w:t>
      </w:r>
    </w:p>
    <w:p w14:paraId="5BC35367" w14:textId="77777777" w:rsidR="00A87DE9" w:rsidRDefault="00A87DE9" w:rsidP="00D10794">
      <w:pPr>
        <w:spacing w:after="0"/>
      </w:pPr>
    </w:p>
    <w:p w14:paraId="67F13ECE" w14:textId="77777777" w:rsidR="00D10794" w:rsidRPr="008123F7" w:rsidRDefault="00D10794" w:rsidP="00D10794">
      <w:pPr>
        <w:pStyle w:val="ListParagraph"/>
        <w:numPr>
          <w:ilvl w:val="0"/>
          <w:numId w:val="31"/>
        </w:numPr>
        <w:autoSpaceDE/>
        <w:autoSpaceDN/>
        <w:adjustRightInd/>
        <w:spacing w:after="0" w:line="259" w:lineRule="auto"/>
        <w:jc w:val="left"/>
        <w:rPr>
          <w:rFonts w:eastAsia="Times New Roman" w:cs="Arial"/>
          <w:b/>
          <w:lang w:eastAsia="en-GB"/>
        </w:rPr>
      </w:pPr>
      <w:r w:rsidRPr="008123F7">
        <w:rPr>
          <w:rFonts w:eastAsia="Times New Roman" w:cs="Arial"/>
          <w:b/>
          <w:lang w:eastAsia="en-GB"/>
        </w:rPr>
        <w:t xml:space="preserve">Capital Programme 2021/22 next steps: </w:t>
      </w:r>
    </w:p>
    <w:p w14:paraId="2D03645E" w14:textId="77777777" w:rsidR="00D10794" w:rsidRPr="00B7332A" w:rsidRDefault="00D10794" w:rsidP="00D10794">
      <w:pPr>
        <w:spacing w:after="0"/>
        <w:rPr>
          <w:rFonts w:eastAsia="Times New Roman" w:cs="Arial"/>
          <w:b/>
          <w:lang w:eastAsia="en-GB"/>
        </w:rPr>
      </w:pPr>
    </w:p>
    <w:p w14:paraId="762E2377" w14:textId="77777777" w:rsidR="00D10794" w:rsidRPr="00DC1C0F" w:rsidRDefault="00D10794" w:rsidP="00D10794">
      <w:pPr>
        <w:spacing w:after="0"/>
        <w:rPr>
          <w:rFonts w:eastAsia="Times New Roman" w:cs="Arial"/>
          <w:lang w:eastAsia="en-GB"/>
        </w:rPr>
      </w:pPr>
      <w:r w:rsidRPr="00DC1C0F">
        <w:rPr>
          <w:rFonts w:eastAsia="Times New Roman" w:cs="Arial"/>
          <w:lang w:eastAsia="en-GB"/>
        </w:rPr>
        <w:t>During the first 3 months of 202</w:t>
      </w:r>
      <w:r>
        <w:rPr>
          <w:rFonts w:eastAsia="Times New Roman" w:cs="Arial"/>
          <w:lang w:eastAsia="en-GB"/>
        </w:rPr>
        <w:t>1</w:t>
      </w:r>
      <w:r w:rsidRPr="00DC1C0F">
        <w:rPr>
          <w:rFonts w:eastAsia="Times New Roman" w:cs="Arial"/>
          <w:lang w:eastAsia="en-GB"/>
        </w:rPr>
        <w:t>/2</w:t>
      </w:r>
      <w:r>
        <w:rPr>
          <w:rFonts w:eastAsia="Times New Roman" w:cs="Arial"/>
          <w:lang w:eastAsia="en-GB"/>
        </w:rPr>
        <w:t>2</w:t>
      </w:r>
      <w:r w:rsidRPr="00DC1C0F">
        <w:rPr>
          <w:rFonts w:eastAsia="Times New Roman" w:cs="Arial"/>
          <w:lang w:eastAsia="en-GB"/>
        </w:rPr>
        <w:t xml:space="preserve"> a comprehensive review of the delivery programme for 202</w:t>
      </w:r>
      <w:r>
        <w:rPr>
          <w:rFonts w:eastAsia="Times New Roman" w:cs="Arial"/>
          <w:lang w:eastAsia="en-GB"/>
        </w:rPr>
        <w:t>1/22</w:t>
      </w:r>
      <w:r w:rsidRPr="00DC1C0F">
        <w:rPr>
          <w:rFonts w:eastAsia="Times New Roman" w:cs="Arial"/>
          <w:lang w:eastAsia="en-GB"/>
        </w:rPr>
        <w:t xml:space="preserve"> will be undertaken by Finance for approval by Capital Board.  The work undertaken will be as follows:</w:t>
      </w:r>
    </w:p>
    <w:p w14:paraId="63138AB5" w14:textId="77777777" w:rsidR="00D10794" w:rsidRPr="00DC1C0F" w:rsidRDefault="00D10794" w:rsidP="00D10794">
      <w:pPr>
        <w:spacing w:after="0"/>
        <w:rPr>
          <w:rFonts w:eastAsia="Times New Roman" w:cs="Arial"/>
          <w:lang w:eastAsia="en-GB"/>
        </w:rPr>
      </w:pPr>
    </w:p>
    <w:p w14:paraId="7FBD32F8" w14:textId="77777777" w:rsidR="00D10794" w:rsidRPr="00DC1C0F" w:rsidRDefault="00D10794" w:rsidP="00D10794">
      <w:pPr>
        <w:pStyle w:val="ListParagraph"/>
        <w:numPr>
          <w:ilvl w:val="0"/>
          <w:numId w:val="29"/>
        </w:numPr>
        <w:spacing w:after="0"/>
        <w:rPr>
          <w:rFonts w:eastAsia="Times New Roman" w:cs="Arial"/>
          <w:lang w:eastAsia="en-GB"/>
        </w:rPr>
      </w:pPr>
      <w:r w:rsidRPr="00DC1C0F">
        <w:rPr>
          <w:rFonts w:eastAsia="Times New Roman" w:cs="Arial"/>
          <w:lang w:eastAsia="en-GB"/>
        </w:rPr>
        <w:t xml:space="preserve">A comprehensive review of what </w:t>
      </w:r>
      <w:r>
        <w:rPr>
          <w:rFonts w:eastAsia="Times New Roman" w:cs="Arial"/>
          <w:lang w:eastAsia="en-GB"/>
        </w:rPr>
        <w:t xml:space="preserve">can be and </w:t>
      </w:r>
      <w:r w:rsidRPr="00DC1C0F">
        <w:rPr>
          <w:rFonts w:eastAsia="Times New Roman" w:cs="Arial"/>
          <w:lang w:eastAsia="en-GB"/>
        </w:rPr>
        <w:t>what needs to be delivered in 20</w:t>
      </w:r>
      <w:r>
        <w:rPr>
          <w:rFonts w:eastAsia="Times New Roman" w:cs="Arial"/>
          <w:lang w:eastAsia="en-GB"/>
        </w:rPr>
        <w:t>21/22</w:t>
      </w:r>
      <w:r w:rsidRPr="00DC1C0F">
        <w:rPr>
          <w:rFonts w:eastAsia="Times New Roman" w:cs="Arial"/>
          <w:lang w:eastAsia="en-GB"/>
        </w:rPr>
        <w:t xml:space="preserve"> across all blocks following </w:t>
      </w:r>
      <w:r>
        <w:rPr>
          <w:rFonts w:eastAsia="Times New Roman" w:cs="Arial"/>
          <w:lang w:eastAsia="en-GB"/>
        </w:rPr>
        <w:t xml:space="preserve">the change in the focus of project delivery in 2020/21 due to </w:t>
      </w:r>
      <w:proofErr w:type="spellStart"/>
      <w:r>
        <w:rPr>
          <w:rFonts w:eastAsia="Times New Roman" w:cs="Arial"/>
          <w:lang w:eastAsia="en-GB"/>
        </w:rPr>
        <w:t>Covid</w:t>
      </w:r>
      <w:proofErr w:type="spellEnd"/>
      <w:r>
        <w:rPr>
          <w:rFonts w:eastAsia="Times New Roman" w:cs="Arial"/>
          <w:lang w:eastAsia="en-GB"/>
        </w:rPr>
        <w:t xml:space="preserve"> related and other emerging priorities.</w:t>
      </w:r>
      <w:r w:rsidRPr="00DC1C0F">
        <w:rPr>
          <w:rFonts w:eastAsia="Times New Roman" w:cs="Arial"/>
          <w:lang w:eastAsia="en-GB"/>
        </w:rPr>
        <w:t xml:space="preserve"> </w:t>
      </w:r>
    </w:p>
    <w:p w14:paraId="18593F8B" w14:textId="77777777" w:rsidR="00D10794" w:rsidRPr="00DC1C0F" w:rsidRDefault="00D10794" w:rsidP="00D10794">
      <w:pPr>
        <w:pStyle w:val="ListParagraph"/>
        <w:numPr>
          <w:ilvl w:val="0"/>
          <w:numId w:val="29"/>
        </w:numPr>
        <w:spacing w:after="0"/>
        <w:rPr>
          <w:rFonts w:eastAsia="Times New Roman" w:cs="Arial"/>
          <w:lang w:eastAsia="en-GB"/>
        </w:rPr>
      </w:pPr>
      <w:r w:rsidRPr="00DC1C0F">
        <w:rPr>
          <w:rFonts w:eastAsia="Times New Roman" w:cs="Arial"/>
          <w:lang w:eastAsia="en-GB"/>
        </w:rPr>
        <w:t>An achievable 2021</w:t>
      </w:r>
      <w:r>
        <w:rPr>
          <w:rFonts w:eastAsia="Times New Roman" w:cs="Arial"/>
          <w:lang w:eastAsia="en-GB"/>
        </w:rPr>
        <w:t>/22</w:t>
      </w:r>
      <w:r w:rsidRPr="00DC1C0F">
        <w:rPr>
          <w:rFonts w:eastAsia="Times New Roman" w:cs="Arial"/>
          <w:lang w:eastAsia="en-GB"/>
        </w:rPr>
        <w:t xml:space="preserve"> Delivery Programme </w:t>
      </w:r>
      <w:r>
        <w:rPr>
          <w:rFonts w:eastAsia="Times New Roman" w:cs="Arial"/>
          <w:lang w:eastAsia="en-GB"/>
        </w:rPr>
        <w:t xml:space="preserve">considering resources available, </w:t>
      </w:r>
      <w:r w:rsidRPr="00DC1C0F">
        <w:rPr>
          <w:rFonts w:eastAsia="Times New Roman" w:cs="Arial"/>
          <w:lang w:eastAsia="en-GB"/>
        </w:rPr>
        <w:t xml:space="preserve">drawn up allowing for accurate financial and performance monitoring. </w:t>
      </w:r>
    </w:p>
    <w:p w14:paraId="32E77D41" w14:textId="77777777" w:rsidR="00D10794" w:rsidRDefault="00D10794" w:rsidP="00D10794">
      <w:pPr>
        <w:pStyle w:val="ListParagraph"/>
        <w:numPr>
          <w:ilvl w:val="0"/>
          <w:numId w:val="29"/>
        </w:numPr>
        <w:spacing w:after="0"/>
        <w:rPr>
          <w:rFonts w:eastAsia="Times New Roman" w:cs="Arial"/>
          <w:lang w:eastAsia="en-GB"/>
        </w:rPr>
      </w:pPr>
      <w:r w:rsidRPr="00DC1C0F">
        <w:rPr>
          <w:rFonts w:eastAsia="Times New Roman" w:cs="Arial"/>
          <w:lang w:eastAsia="en-GB"/>
        </w:rPr>
        <w:lastRenderedPageBreak/>
        <w:t>Detailed monitoring of the delivery programme through 202</w:t>
      </w:r>
      <w:r>
        <w:rPr>
          <w:rFonts w:eastAsia="Times New Roman" w:cs="Arial"/>
          <w:lang w:eastAsia="en-GB"/>
        </w:rPr>
        <w:t>1/22</w:t>
      </w:r>
      <w:r w:rsidRPr="00DC1C0F">
        <w:rPr>
          <w:rFonts w:eastAsia="Times New Roman" w:cs="Arial"/>
          <w:lang w:eastAsia="en-GB"/>
        </w:rPr>
        <w:t xml:space="preserve"> to ensure slippage is reported in a timely manner and a robust level of challenge to both programme and portfolio managers by Capital Board to ensure delivery remains on track through the year. </w:t>
      </w:r>
    </w:p>
    <w:p w14:paraId="75BD0492" w14:textId="77777777" w:rsidR="00D10794" w:rsidRPr="00DC1C0F" w:rsidRDefault="00D10794" w:rsidP="00D10794">
      <w:pPr>
        <w:pStyle w:val="ListParagraph"/>
        <w:numPr>
          <w:ilvl w:val="0"/>
          <w:numId w:val="29"/>
        </w:numPr>
        <w:spacing w:after="0"/>
        <w:rPr>
          <w:rFonts w:eastAsia="Times New Roman" w:cs="Arial"/>
          <w:lang w:eastAsia="en-GB"/>
        </w:rPr>
      </w:pPr>
      <w:r>
        <w:rPr>
          <w:rFonts w:eastAsia="Times New Roman" w:cs="Arial"/>
          <w:lang w:eastAsia="en-GB"/>
        </w:rPr>
        <w:t>A review of the current reporting blocks to ensure they remain relevant and fit for purpose.</w:t>
      </w:r>
    </w:p>
    <w:p w14:paraId="6F654CB2" w14:textId="753B211D" w:rsidR="00D10794" w:rsidRPr="00DC1C0F" w:rsidRDefault="00D10794" w:rsidP="00D10794">
      <w:pPr>
        <w:pStyle w:val="ListParagraph"/>
        <w:numPr>
          <w:ilvl w:val="0"/>
          <w:numId w:val="29"/>
        </w:numPr>
        <w:spacing w:after="0"/>
        <w:rPr>
          <w:rFonts w:eastAsia="Times New Roman" w:cs="Arial"/>
          <w:lang w:eastAsia="en-GB"/>
        </w:rPr>
      </w:pPr>
      <w:r w:rsidRPr="00DC1C0F">
        <w:rPr>
          <w:rFonts w:eastAsia="Times New Roman" w:cs="Arial"/>
          <w:lang w:eastAsia="en-GB"/>
        </w:rPr>
        <w:t xml:space="preserve">The implementation of the </w:t>
      </w:r>
      <w:r>
        <w:rPr>
          <w:rFonts w:eastAsia="Times New Roman" w:cs="Arial"/>
          <w:lang w:eastAsia="en-GB"/>
        </w:rPr>
        <w:t>up</w:t>
      </w:r>
      <w:r w:rsidRPr="00DC1C0F">
        <w:rPr>
          <w:rFonts w:eastAsia="Times New Roman" w:cs="Arial"/>
          <w:lang w:eastAsia="en-GB"/>
        </w:rPr>
        <w:t xml:space="preserve">graded </w:t>
      </w:r>
      <w:r w:rsidR="00525D8B">
        <w:rPr>
          <w:rFonts w:eastAsia="Times New Roman" w:cs="Arial"/>
          <w:lang w:eastAsia="en-GB"/>
        </w:rPr>
        <w:t>p</w:t>
      </w:r>
      <w:r w:rsidRPr="00DC1C0F">
        <w:rPr>
          <w:rFonts w:eastAsia="Times New Roman" w:cs="Arial"/>
          <w:lang w:eastAsia="en-GB"/>
        </w:rPr>
        <w:t xml:space="preserve">roject </w:t>
      </w:r>
      <w:r w:rsidR="00525D8B">
        <w:rPr>
          <w:rFonts w:eastAsia="Times New Roman" w:cs="Arial"/>
          <w:lang w:eastAsia="en-GB"/>
        </w:rPr>
        <w:t>m</w:t>
      </w:r>
      <w:r w:rsidRPr="00DC1C0F">
        <w:rPr>
          <w:rFonts w:eastAsia="Times New Roman" w:cs="Arial"/>
          <w:lang w:eastAsia="en-GB"/>
        </w:rPr>
        <w:t>anagement system</w:t>
      </w:r>
      <w:r>
        <w:rPr>
          <w:rFonts w:eastAsia="Times New Roman" w:cs="Arial"/>
          <w:lang w:eastAsia="en-GB"/>
        </w:rPr>
        <w:t xml:space="preserve">, links to oracle fusion </w:t>
      </w:r>
      <w:r w:rsidRPr="00DC1C0F">
        <w:rPr>
          <w:rFonts w:eastAsia="Times New Roman" w:cs="Arial"/>
          <w:lang w:eastAsia="en-GB"/>
        </w:rPr>
        <w:t xml:space="preserve">and the work to ensure business as usual </w:t>
      </w:r>
      <w:r>
        <w:rPr>
          <w:rFonts w:eastAsia="Times New Roman" w:cs="Arial"/>
          <w:lang w:eastAsia="en-GB"/>
        </w:rPr>
        <w:t xml:space="preserve">is maintained </w:t>
      </w:r>
      <w:r w:rsidRPr="00DC1C0F">
        <w:rPr>
          <w:rFonts w:eastAsia="Times New Roman" w:cs="Arial"/>
          <w:lang w:eastAsia="en-GB"/>
        </w:rPr>
        <w:t>during the crossover.</w:t>
      </w:r>
    </w:p>
    <w:p w14:paraId="1C3C4C04" w14:textId="77777777" w:rsidR="00D10794" w:rsidRPr="00DC1C0F" w:rsidRDefault="00D10794" w:rsidP="00D10794">
      <w:pPr>
        <w:spacing w:after="0"/>
        <w:rPr>
          <w:rFonts w:eastAsia="Times New Roman" w:cs="Arial"/>
          <w:lang w:eastAsia="en-GB"/>
        </w:rPr>
      </w:pPr>
      <w:r w:rsidRPr="00DC1C0F">
        <w:rPr>
          <w:rFonts w:eastAsia="Times New Roman" w:cs="Arial"/>
          <w:lang w:eastAsia="en-GB"/>
        </w:rPr>
        <w:t xml:space="preserve"> </w:t>
      </w:r>
    </w:p>
    <w:p w14:paraId="503CF8F6" w14:textId="4A23B3CF" w:rsidR="00D10794" w:rsidRDefault="00D10794" w:rsidP="00D10794">
      <w:pPr>
        <w:spacing w:after="0"/>
        <w:rPr>
          <w:rFonts w:eastAsia="Times New Roman" w:cs="Arial"/>
          <w:lang w:eastAsia="en-GB"/>
        </w:rPr>
      </w:pPr>
      <w:r w:rsidRPr="00DC1C0F">
        <w:rPr>
          <w:rFonts w:eastAsia="Times New Roman" w:cs="Arial"/>
          <w:lang w:eastAsia="en-GB"/>
        </w:rPr>
        <w:t xml:space="preserve">A detailed position by block will be presented for Quarter 1 </w:t>
      </w:r>
      <w:r w:rsidR="00525D8B">
        <w:rPr>
          <w:rFonts w:eastAsia="Times New Roman" w:cs="Arial"/>
          <w:lang w:eastAsia="en-GB"/>
        </w:rPr>
        <w:t xml:space="preserve">and reported </w:t>
      </w:r>
      <w:r w:rsidR="00C42640">
        <w:rPr>
          <w:rFonts w:eastAsia="Times New Roman" w:cs="Arial"/>
          <w:lang w:eastAsia="en-GB"/>
        </w:rPr>
        <w:t>to Cabinet</w:t>
      </w:r>
      <w:r w:rsidR="00525D8B">
        <w:rPr>
          <w:rFonts w:eastAsia="Times New Roman" w:cs="Arial"/>
          <w:lang w:eastAsia="en-GB"/>
        </w:rPr>
        <w:t xml:space="preserve"> </w:t>
      </w:r>
      <w:r w:rsidRPr="00DC1C0F">
        <w:rPr>
          <w:rFonts w:eastAsia="Times New Roman" w:cs="Arial"/>
          <w:lang w:eastAsia="en-GB"/>
        </w:rPr>
        <w:t xml:space="preserve">in </w:t>
      </w:r>
      <w:r w:rsidR="00525D8B">
        <w:rPr>
          <w:rFonts w:eastAsia="Times New Roman" w:cs="Arial"/>
          <w:lang w:eastAsia="en-GB"/>
        </w:rPr>
        <w:t>September</w:t>
      </w:r>
      <w:r w:rsidRPr="00DC1C0F">
        <w:rPr>
          <w:rFonts w:eastAsia="Times New Roman" w:cs="Arial"/>
          <w:lang w:eastAsia="en-GB"/>
        </w:rPr>
        <w:t xml:space="preserve"> 202</w:t>
      </w:r>
      <w:r>
        <w:rPr>
          <w:rFonts w:eastAsia="Times New Roman" w:cs="Arial"/>
          <w:lang w:eastAsia="en-GB"/>
        </w:rPr>
        <w:t>1</w:t>
      </w:r>
      <w:r w:rsidRPr="00DC1C0F">
        <w:rPr>
          <w:rFonts w:eastAsia="Times New Roman" w:cs="Arial"/>
          <w:lang w:eastAsia="en-GB"/>
        </w:rPr>
        <w:t xml:space="preserve"> which will set the agreed delivery plan for the year against which performance will be measured monthly and reported to </w:t>
      </w:r>
      <w:r>
        <w:rPr>
          <w:rFonts w:eastAsia="Times New Roman" w:cs="Arial"/>
          <w:lang w:eastAsia="en-GB"/>
        </w:rPr>
        <w:t>C</w:t>
      </w:r>
      <w:r w:rsidRPr="00DC1C0F">
        <w:rPr>
          <w:rFonts w:eastAsia="Times New Roman" w:cs="Arial"/>
          <w:lang w:eastAsia="en-GB"/>
        </w:rPr>
        <w:t xml:space="preserve">abinet </w:t>
      </w:r>
      <w:r w:rsidR="00525D8B">
        <w:rPr>
          <w:rFonts w:eastAsia="Times New Roman" w:cs="Arial"/>
          <w:lang w:eastAsia="en-GB"/>
        </w:rPr>
        <w:t xml:space="preserve">each </w:t>
      </w:r>
      <w:r w:rsidRPr="00DC1C0F">
        <w:rPr>
          <w:rFonts w:eastAsia="Times New Roman" w:cs="Arial"/>
          <w:lang w:eastAsia="en-GB"/>
        </w:rPr>
        <w:t xml:space="preserve">quarter.  </w:t>
      </w:r>
    </w:p>
    <w:p w14:paraId="4E27E875" w14:textId="77777777" w:rsidR="00D10794" w:rsidRDefault="00D10794" w:rsidP="00D10794">
      <w:pPr>
        <w:spacing w:after="0"/>
        <w:rPr>
          <w:rFonts w:eastAsia="Times New Roman" w:cs="Arial"/>
          <w:lang w:eastAsia="en-GB"/>
        </w:rPr>
      </w:pPr>
    </w:p>
    <w:p w14:paraId="6C0DAA57" w14:textId="77777777" w:rsidR="00D10794" w:rsidRDefault="00D10794" w:rsidP="00D10794">
      <w:pPr>
        <w:spacing w:after="0"/>
        <w:rPr>
          <w:rFonts w:cs="Arial"/>
          <w:b/>
        </w:rPr>
      </w:pPr>
      <w:r>
        <w:rPr>
          <w:rFonts w:eastAsia="Times New Roman" w:cs="Arial"/>
          <w:b/>
          <w:lang w:eastAsia="en-GB"/>
        </w:rPr>
        <w:t xml:space="preserve">5.  </w:t>
      </w:r>
      <w:r w:rsidRPr="006230B5">
        <w:rPr>
          <w:rFonts w:eastAsia="Times New Roman" w:cs="Arial"/>
          <w:b/>
          <w:lang w:eastAsia="en-GB"/>
        </w:rPr>
        <w:t>Capital Programme Outturn Detailed Analysis</w:t>
      </w:r>
      <w:r w:rsidRPr="006230B5">
        <w:rPr>
          <w:rFonts w:cs="Arial"/>
          <w:b/>
        </w:rPr>
        <w:t xml:space="preserve"> </w:t>
      </w:r>
    </w:p>
    <w:p w14:paraId="634CC3A4" w14:textId="77777777" w:rsidR="00D10794" w:rsidRPr="00735826" w:rsidRDefault="00D10794" w:rsidP="00D10794">
      <w:pPr>
        <w:spacing w:after="0"/>
        <w:rPr>
          <w:rFonts w:cs="Arial"/>
        </w:rPr>
      </w:pPr>
    </w:p>
    <w:p w14:paraId="12FA441F" w14:textId="77777777" w:rsidR="00D10794" w:rsidRDefault="00D10794" w:rsidP="00D10794">
      <w:pPr>
        <w:spacing w:after="0"/>
        <w:rPr>
          <w:rFonts w:cs="Arial"/>
        </w:rPr>
      </w:pPr>
      <w:r w:rsidRPr="00735826">
        <w:rPr>
          <w:rFonts w:cs="Arial"/>
        </w:rPr>
        <w:t>The outturn variances by block from th</w:t>
      </w:r>
      <w:r>
        <w:rPr>
          <w:rFonts w:cs="Arial"/>
        </w:rPr>
        <w:t xml:space="preserve">e budget for delivery in 2020/21, with comments by programme or significant project </w:t>
      </w:r>
      <w:r w:rsidRPr="00735826">
        <w:rPr>
          <w:rFonts w:cs="Arial"/>
        </w:rPr>
        <w:t>are as follows:</w:t>
      </w:r>
    </w:p>
    <w:p w14:paraId="26140F10" w14:textId="77777777" w:rsidR="00D10794" w:rsidRPr="00185BD7" w:rsidRDefault="00D10794" w:rsidP="00D10794">
      <w:pPr>
        <w:spacing w:after="0"/>
        <w:rPr>
          <w:rFonts w:eastAsia="Times New Roman" w:cs="Arial"/>
          <w:lang w:eastAsia="en-GB"/>
        </w:rPr>
      </w:pPr>
    </w:p>
    <w:p w14:paraId="6A929C52" w14:textId="6F6370DB" w:rsidR="00D10794" w:rsidRDefault="00D10794" w:rsidP="00D10794">
      <w:pPr>
        <w:spacing w:after="0"/>
        <w:rPr>
          <w:b/>
        </w:rPr>
      </w:pPr>
      <w:r w:rsidRPr="00B26428">
        <w:rPr>
          <w:b/>
        </w:rPr>
        <w:t xml:space="preserve">Schools </w:t>
      </w:r>
    </w:p>
    <w:p w14:paraId="54ED649D" w14:textId="77777777" w:rsidR="00A87DE9" w:rsidRPr="00B26428" w:rsidRDefault="00A87DE9" w:rsidP="00D10794">
      <w:pPr>
        <w:spacing w:after="0"/>
        <w:rPr>
          <w:b/>
          <w:color w:val="FF0000"/>
          <w:u w:val="single"/>
        </w:rPr>
      </w:pPr>
    </w:p>
    <w:p w14:paraId="1583E8E2" w14:textId="56B5E031" w:rsidR="00D10794" w:rsidRDefault="00D10794" w:rsidP="00D10794">
      <w:pPr>
        <w:spacing w:after="0"/>
        <w:rPr>
          <w:rFonts w:cstheme="minorHAnsi"/>
          <w:b/>
        </w:rPr>
      </w:pPr>
      <w:r w:rsidRPr="00C1534B">
        <w:rPr>
          <w:rFonts w:cstheme="minorHAnsi"/>
          <w:b/>
        </w:rPr>
        <w:t xml:space="preserve">The </w:t>
      </w:r>
      <w:proofErr w:type="gramStart"/>
      <w:r w:rsidRPr="00C1534B">
        <w:rPr>
          <w:rFonts w:cstheme="minorHAnsi"/>
          <w:b/>
        </w:rPr>
        <w:t>schools</w:t>
      </w:r>
      <w:proofErr w:type="gramEnd"/>
      <w:r w:rsidRPr="00C1534B">
        <w:rPr>
          <w:rFonts w:cstheme="minorHAnsi"/>
          <w:b/>
        </w:rPr>
        <w:t xml:space="preserve"> capital programme (including devolved formula capital (DFC)) has a 2020/21 delivery plan of £26.882m. The delivery plan (excluding DFC) ha</w:t>
      </w:r>
      <w:r>
        <w:rPr>
          <w:rFonts w:cstheme="minorHAnsi"/>
          <w:b/>
        </w:rPr>
        <w:t>d over</w:t>
      </w:r>
      <w:r w:rsidRPr="00C1534B">
        <w:rPr>
          <w:rFonts w:cstheme="minorHAnsi"/>
          <w:b/>
        </w:rPr>
        <w:t xml:space="preserve"> 150 schemes that </w:t>
      </w:r>
      <w:r>
        <w:rPr>
          <w:rFonts w:cstheme="minorHAnsi"/>
          <w:b/>
        </w:rPr>
        <w:t xml:space="preserve">were </w:t>
      </w:r>
      <w:r w:rsidRPr="00C1534B">
        <w:rPr>
          <w:rFonts w:cstheme="minorHAnsi"/>
          <w:b/>
        </w:rPr>
        <w:t xml:space="preserve">worked on </w:t>
      </w:r>
      <w:r w:rsidR="00525D8B">
        <w:rPr>
          <w:rFonts w:cstheme="minorHAnsi"/>
          <w:b/>
        </w:rPr>
        <w:t>in the</w:t>
      </w:r>
      <w:r w:rsidR="00525D8B" w:rsidRPr="00C1534B">
        <w:rPr>
          <w:rFonts w:cstheme="minorHAnsi"/>
          <w:b/>
        </w:rPr>
        <w:t xml:space="preserve"> </w:t>
      </w:r>
      <w:r w:rsidRPr="00C1534B">
        <w:rPr>
          <w:rFonts w:cstheme="minorHAnsi"/>
          <w:b/>
        </w:rPr>
        <w:t xml:space="preserve">year. The </w:t>
      </w:r>
      <w:r>
        <w:rPr>
          <w:rFonts w:cstheme="minorHAnsi"/>
          <w:b/>
        </w:rPr>
        <w:t xml:space="preserve">final </w:t>
      </w:r>
      <w:r w:rsidRPr="00C1534B">
        <w:rPr>
          <w:rFonts w:cstheme="minorHAnsi"/>
          <w:b/>
        </w:rPr>
        <w:t xml:space="preserve">outturn </w:t>
      </w:r>
      <w:r>
        <w:rPr>
          <w:rFonts w:cstheme="minorHAnsi"/>
          <w:b/>
        </w:rPr>
        <w:t xml:space="preserve">position </w:t>
      </w:r>
      <w:r w:rsidRPr="00C1534B">
        <w:rPr>
          <w:rFonts w:cstheme="minorHAnsi"/>
          <w:b/>
        </w:rPr>
        <w:t>is £2</w:t>
      </w:r>
      <w:r>
        <w:rPr>
          <w:rFonts w:cstheme="minorHAnsi"/>
          <w:b/>
        </w:rPr>
        <w:t>3.673</w:t>
      </w:r>
      <w:r w:rsidRPr="00C1534B">
        <w:rPr>
          <w:rFonts w:cstheme="minorHAnsi"/>
          <w:b/>
        </w:rPr>
        <w:t>m, a variance of -£</w:t>
      </w:r>
      <w:r>
        <w:rPr>
          <w:rFonts w:cstheme="minorHAnsi"/>
          <w:b/>
        </w:rPr>
        <w:t>3.209</w:t>
      </w:r>
      <w:r w:rsidRPr="00C1534B">
        <w:rPr>
          <w:rFonts w:cstheme="minorHAnsi"/>
          <w:b/>
        </w:rPr>
        <w:t>m.</w:t>
      </w:r>
      <w:r w:rsidRPr="00665661">
        <w:rPr>
          <w:rFonts w:cstheme="minorHAnsi"/>
          <w:b/>
        </w:rPr>
        <w:t xml:space="preserve">  </w:t>
      </w:r>
    </w:p>
    <w:p w14:paraId="0089D995" w14:textId="77777777" w:rsidR="00D10794" w:rsidRPr="00665661" w:rsidRDefault="00D10794" w:rsidP="00D10794">
      <w:pPr>
        <w:spacing w:after="0"/>
        <w:rPr>
          <w:rFonts w:cstheme="minorHAnsi"/>
          <w:b/>
        </w:rPr>
      </w:pPr>
    </w:p>
    <w:p w14:paraId="436CD470" w14:textId="77777777" w:rsidR="00D10794" w:rsidRDefault="00D10794" w:rsidP="00D10794">
      <w:pPr>
        <w:spacing w:after="0"/>
        <w:rPr>
          <w:rFonts w:cstheme="minorHAnsi"/>
        </w:rPr>
      </w:pPr>
      <w:r w:rsidRPr="001274A4">
        <w:rPr>
          <w:rFonts w:cstheme="minorHAnsi"/>
        </w:rPr>
        <w:t>A summary of the main variations within the block is given below</w:t>
      </w:r>
      <w:r>
        <w:rPr>
          <w:rFonts w:cstheme="minorHAnsi"/>
        </w:rPr>
        <w:t>:</w:t>
      </w:r>
    </w:p>
    <w:p w14:paraId="411EA614" w14:textId="77777777" w:rsidR="00D10794" w:rsidRPr="001274A4" w:rsidRDefault="00D10794" w:rsidP="00D10794">
      <w:pPr>
        <w:spacing w:after="0"/>
        <w:rPr>
          <w:rFonts w:cstheme="minorHAnsi"/>
        </w:rPr>
      </w:pPr>
    </w:p>
    <w:p w14:paraId="4FD626F4" w14:textId="77777777" w:rsidR="00D10794" w:rsidRPr="00C42640" w:rsidRDefault="00D10794" w:rsidP="00D10794">
      <w:pPr>
        <w:spacing w:after="0"/>
        <w:rPr>
          <w:b/>
        </w:rPr>
      </w:pPr>
      <w:r w:rsidRPr="00C42640">
        <w:rPr>
          <w:b/>
        </w:rPr>
        <w:t>Basic Need Programme</w:t>
      </w:r>
    </w:p>
    <w:p w14:paraId="65A148BD" w14:textId="77777777" w:rsidR="00D10794" w:rsidRPr="001274A4" w:rsidRDefault="00D10794" w:rsidP="00D10794">
      <w:pPr>
        <w:pStyle w:val="ListParagraph"/>
        <w:spacing w:after="0"/>
        <w:ind w:left="0"/>
      </w:pPr>
      <w:r w:rsidRPr="001274A4">
        <w:t>The purpose of the Basic Need programme is to increase school pupil places in targeted areas via grant funded school expansions or new school build projects. The 2020/21 delivery plan for this programme was £13.530m. The main variances on the 2020/21 basic need programme are as follows</w:t>
      </w:r>
      <w:r>
        <w:t>:</w:t>
      </w:r>
    </w:p>
    <w:p w14:paraId="77705C4A" w14:textId="77777777" w:rsidR="00D10794" w:rsidRPr="001274A4" w:rsidRDefault="00D10794" w:rsidP="00D10794">
      <w:pPr>
        <w:pStyle w:val="ListParagraph"/>
        <w:ind w:left="0"/>
        <w:rPr>
          <w:color w:val="FF0000"/>
        </w:rPr>
      </w:pPr>
    </w:p>
    <w:p w14:paraId="2C9176B9" w14:textId="77777777" w:rsidR="00D10794" w:rsidRDefault="00D10794" w:rsidP="00D10794">
      <w:pPr>
        <w:pStyle w:val="ListParagraph"/>
        <w:ind w:left="0"/>
        <w:rPr>
          <w:color w:val="000000" w:themeColor="text1"/>
        </w:rPr>
      </w:pPr>
      <w:r w:rsidRPr="001274A4">
        <w:rPr>
          <w:color w:val="000000" w:themeColor="text1"/>
        </w:rPr>
        <w:t xml:space="preserve">Slipped delivery was incurred on </w:t>
      </w:r>
      <w:proofErr w:type="gramStart"/>
      <w:r w:rsidRPr="001274A4">
        <w:rPr>
          <w:color w:val="000000" w:themeColor="text1"/>
        </w:rPr>
        <w:t>a number of</w:t>
      </w:r>
      <w:proofErr w:type="gramEnd"/>
      <w:r w:rsidRPr="001274A4">
        <w:rPr>
          <w:color w:val="000000" w:themeColor="text1"/>
        </w:rPr>
        <w:t xml:space="preserve"> the major school expansion schemes starting in 2020/21, largely due to work not progressing as planned due to </w:t>
      </w:r>
      <w:proofErr w:type="spellStart"/>
      <w:r w:rsidRPr="001274A4">
        <w:rPr>
          <w:color w:val="000000" w:themeColor="text1"/>
        </w:rPr>
        <w:t>Covid</w:t>
      </w:r>
      <w:proofErr w:type="spellEnd"/>
      <w:r w:rsidRPr="001274A4">
        <w:rPr>
          <w:color w:val="000000" w:themeColor="text1"/>
        </w:rPr>
        <w:t xml:space="preserve"> associated delays. Non-</w:t>
      </w:r>
      <w:proofErr w:type="spellStart"/>
      <w:r w:rsidRPr="001274A4">
        <w:rPr>
          <w:color w:val="000000" w:themeColor="text1"/>
        </w:rPr>
        <w:t>covid</w:t>
      </w:r>
      <w:proofErr w:type="spellEnd"/>
      <w:r w:rsidRPr="001274A4">
        <w:rPr>
          <w:color w:val="000000" w:themeColor="text1"/>
        </w:rPr>
        <w:t xml:space="preserve"> related complications arose during the year on some projects such as planning approval and agreed maximum price agreements. </w:t>
      </w:r>
    </w:p>
    <w:p w14:paraId="63846A27" w14:textId="77777777" w:rsidR="00D10794" w:rsidRPr="001274A4" w:rsidRDefault="00D10794" w:rsidP="00D10794">
      <w:pPr>
        <w:pStyle w:val="ListParagraph"/>
        <w:ind w:left="0"/>
        <w:rPr>
          <w:b/>
          <w:color w:val="FF0000"/>
        </w:rPr>
      </w:pPr>
    </w:p>
    <w:p w14:paraId="69E936ED" w14:textId="6F7D4940" w:rsidR="00D10794" w:rsidRDefault="00D10794" w:rsidP="00C42640">
      <w:pPr>
        <w:pStyle w:val="ListParagraph"/>
        <w:numPr>
          <w:ilvl w:val="0"/>
          <w:numId w:val="35"/>
        </w:numPr>
      </w:pPr>
      <w:r w:rsidRPr="001274A4">
        <w:t xml:space="preserve">The Unity College Expansion project encountered </w:t>
      </w:r>
      <w:proofErr w:type="gramStart"/>
      <w:r w:rsidRPr="001274A4">
        <w:t>a number of</w:t>
      </w:r>
      <w:proofErr w:type="gramEnd"/>
      <w:r w:rsidRPr="001274A4">
        <w:t xml:space="preserve"> problems early in the year which resulted in delays to the planned delivery. These issues were resolved in late 2020 and </w:t>
      </w:r>
      <w:r>
        <w:t>C</w:t>
      </w:r>
      <w:r w:rsidRPr="001274A4">
        <w:t>abinet granted permission for enabling works to commence on site. The main build project is currently on site and has remained on programme over winter despite challenging weather conditions. The issues on site ha</w:t>
      </w:r>
      <w:r w:rsidR="00525D8B">
        <w:t>ve</w:t>
      </w:r>
      <w:r w:rsidRPr="001274A4">
        <w:t xml:space="preserve"> caused slipped delivery of -£0.748m but the project is now progressing well and to the revised plan after the uncertainty over winter, exceeding the expected delivery forecast at quarter 3 by £0.515m. </w:t>
      </w:r>
    </w:p>
    <w:p w14:paraId="32ED1D5B" w14:textId="77777777" w:rsidR="00D10794" w:rsidRPr="001274A4" w:rsidRDefault="00D10794" w:rsidP="00D10794">
      <w:pPr>
        <w:pStyle w:val="ListParagraph"/>
        <w:ind w:left="0"/>
      </w:pPr>
    </w:p>
    <w:p w14:paraId="4D8BFE2E" w14:textId="77777777" w:rsidR="00D10794" w:rsidRDefault="00D10794" w:rsidP="00C42640">
      <w:pPr>
        <w:pStyle w:val="ListParagraph"/>
        <w:numPr>
          <w:ilvl w:val="0"/>
          <w:numId w:val="35"/>
        </w:numPr>
      </w:pPr>
      <w:r w:rsidRPr="001274A4">
        <w:t>The</w:t>
      </w:r>
      <w:r w:rsidRPr="001274A4">
        <w:rPr>
          <w:b/>
          <w:bCs/>
        </w:rPr>
        <w:t xml:space="preserve"> </w:t>
      </w:r>
      <w:r w:rsidRPr="001274A4">
        <w:t xml:space="preserve">Tom Finney high school expansion project stalled due to </w:t>
      </w:r>
      <w:proofErr w:type="spellStart"/>
      <w:r w:rsidRPr="001274A4">
        <w:t>Covid</w:t>
      </w:r>
      <w:proofErr w:type="spellEnd"/>
      <w:r w:rsidRPr="001274A4">
        <w:t xml:space="preserve"> and is behind the original intended timescales. No significant delivery progress was made this financial year, but options are now being priced and it is hoped that enabling works might commence over the summer. A slipped delivery variance of -£0.389m is reported.  </w:t>
      </w:r>
    </w:p>
    <w:p w14:paraId="0EA3078D" w14:textId="77777777" w:rsidR="00D10794" w:rsidRPr="001274A4" w:rsidRDefault="00D10794" w:rsidP="00D10794">
      <w:pPr>
        <w:pStyle w:val="ListParagraph"/>
        <w:ind w:left="0"/>
      </w:pPr>
    </w:p>
    <w:p w14:paraId="1F6561B9" w14:textId="231786E3" w:rsidR="00D10794" w:rsidRDefault="00D10794" w:rsidP="00525D8B">
      <w:pPr>
        <w:pStyle w:val="ListParagraph"/>
        <w:numPr>
          <w:ilvl w:val="0"/>
          <w:numId w:val="35"/>
        </w:numPr>
      </w:pPr>
      <w:r w:rsidRPr="001274A4">
        <w:t xml:space="preserve">The Haven School refurbishment works project was temporarily placed on hold but has now been designed and will be taken up to tendering processes but at present no programme is currently proposed. A slipped delivery variance is reported of -£0.450m. </w:t>
      </w:r>
    </w:p>
    <w:p w14:paraId="0F62C436" w14:textId="77777777" w:rsidR="00D10794" w:rsidRDefault="00D10794" w:rsidP="00C42640">
      <w:pPr>
        <w:pStyle w:val="ListParagraph"/>
        <w:numPr>
          <w:ilvl w:val="0"/>
          <w:numId w:val="35"/>
        </w:numPr>
      </w:pPr>
      <w:r w:rsidRPr="001274A4">
        <w:t>Preston Ashton Science College project encountered early delays due to problems encountered finalising the hall design, site access impediments and supply chain issues causing a final slipped delivery figure of -£0.113m</w:t>
      </w:r>
      <w:r>
        <w:t>.</w:t>
      </w:r>
    </w:p>
    <w:p w14:paraId="5B0E0277" w14:textId="77777777" w:rsidR="00D10794" w:rsidRPr="001274A4" w:rsidRDefault="00D10794" w:rsidP="00D10794">
      <w:pPr>
        <w:pStyle w:val="ListParagraph"/>
        <w:ind w:left="0"/>
      </w:pPr>
    </w:p>
    <w:p w14:paraId="43816792" w14:textId="77777777" w:rsidR="00D10794" w:rsidRDefault="00D10794" w:rsidP="00C42640">
      <w:pPr>
        <w:pStyle w:val="ListParagraph"/>
        <w:numPr>
          <w:ilvl w:val="0"/>
          <w:numId w:val="35"/>
        </w:numPr>
        <w:rPr>
          <w:bCs/>
        </w:rPr>
      </w:pPr>
      <w:r w:rsidRPr="001274A4">
        <w:rPr>
          <w:bCs/>
        </w:rPr>
        <w:t>An additional project was added during the final quarter at Shuttleworth College to further support the expansion work at Unity College. This has resulted in additional delivery of £0.251m on the delivery plan and an increase in spend of £0.235m on the quarter 3 forecast.</w:t>
      </w:r>
    </w:p>
    <w:p w14:paraId="566F2BCC" w14:textId="77777777" w:rsidR="00D10794" w:rsidRPr="001274A4" w:rsidRDefault="00D10794" w:rsidP="00D10794">
      <w:pPr>
        <w:pStyle w:val="ListParagraph"/>
        <w:ind w:left="0"/>
        <w:rPr>
          <w:bCs/>
        </w:rPr>
      </w:pPr>
    </w:p>
    <w:p w14:paraId="01F01033" w14:textId="77777777" w:rsidR="00D10794" w:rsidRDefault="00D10794" w:rsidP="00C42640">
      <w:pPr>
        <w:pStyle w:val="ListParagraph"/>
        <w:numPr>
          <w:ilvl w:val="0"/>
          <w:numId w:val="35"/>
        </w:numPr>
        <w:rPr>
          <w:bCs/>
        </w:rPr>
      </w:pPr>
      <w:r w:rsidRPr="001274A4">
        <w:rPr>
          <w:bCs/>
        </w:rPr>
        <w:t xml:space="preserve">The Lea Community Primary School expansion project was originally tentative to progress due to </w:t>
      </w:r>
      <w:proofErr w:type="spellStart"/>
      <w:r w:rsidRPr="001274A4">
        <w:rPr>
          <w:bCs/>
        </w:rPr>
        <w:t>Covid</w:t>
      </w:r>
      <w:proofErr w:type="spellEnd"/>
      <w:r w:rsidRPr="001274A4">
        <w:rPr>
          <w:bCs/>
        </w:rPr>
        <w:t xml:space="preserve"> which had made the site inaccessible. However, it has advanced quickly and is now in defects, with £0.155m of advanced delivery in year.</w:t>
      </w:r>
    </w:p>
    <w:p w14:paraId="71AA14E5" w14:textId="77777777" w:rsidR="00D10794" w:rsidRPr="001274A4" w:rsidRDefault="00D10794" w:rsidP="00D10794">
      <w:pPr>
        <w:pStyle w:val="ListParagraph"/>
        <w:ind w:left="0"/>
        <w:rPr>
          <w:bCs/>
        </w:rPr>
      </w:pPr>
    </w:p>
    <w:p w14:paraId="24F08104" w14:textId="347019FB" w:rsidR="00D10794" w:rsidRDefault="00D10794" w:rsidP="00C42640">
      <w:pPr>
        <w:pStyle w:val="ListParagraph"/>
        <w:numPr>
          <w:ilvl w:val="0"/>
          <w:numId w:val="35"/>
        </w:numPr>
        <w:rPr>
          <w:bCs/>
        </w:rPr>
      </w:pPr>
      <w:r w:rsidRPr="001274A4">
        <w:rPr>
          <w:bCs/>
        </w:rPr>
        <w:t xml:space="preserve">Additional delivery of £0.176m is reported on the Ribblesdale High School Expansion. This large project was on site when the pandemic began and subsequently work was </w:t>
      </w:r>
      <w:proofErr w:type="gramStart"/>
      <w:r w:rsidRPr="001274A4">
        <w:rPr>
          <w:bCs/>
        </w:rPr>
        <w:t>temporarily suspended</w:t>
      </w:r>
      <w:proofErr w:type="gramEnd"/>
      <w:r w:rsidRPr="001274A4">
        <w:rPr>
          <w:bCs/>
        </w:rPr>
        <w:t xml:space="preserve"> adding to delays that had already hampered the project early on. The quarter 3 forecast was reduced for risk of non-</w:t>
      </w:r>
      <w:proofErr w:type="gramStart"/>
      <w:r w:rsidRPr="001274A4">
        <w:rPr>
          <w:bCs/>
        </w:rPr>
        <w:t>delivery,</w:t>
      </w:r>
      <w:proofErr w:type="gramEnd"/>
      <w:r w:rsidRPr="001274A4">
        <w:rPr>
          <w:bCs/>
        </w:rPr>
        <w:t xml:space="preserve"> however the resulting outturn is £0.211m </w:t>
      </w:r>
      <w:r w:rsidR="00525D8B">
        <w:rPr>
          <w:bCs/>
        </w:rPr>
        <w:t xml:space="preserve">higher </w:t>
      </w:r>
      <w:r w:rsidRPr="001274A4">
        <w:rPr>
          <w:bCs/>
        </w:rPr>
        <w:t xml:space="preserve">as delays have since been mitigated with contractors to get the works back on programme. </w:t>
      </w:r>
    </w:p>
    <w:p w14:paraId="39924F8B" w14:textId="77777777" w:rsidR="00D10794" w:rsidRPr="001274A4" w:rsidRDefault="00D10794" w:rsidP="00D10794">
      <w:pPr>
        <w:pStyle w:val="ListParagraph"/>
        <w:ind w:left="0"/>
        <w:rPr>
          <w:bCs/>
        </w:rPr>
      </w:pPr>
    </w:p>
    <w:p w14:paraId="3D026036" w14:textId="77777777" w:rsidR="00D10794" w:rsidRPr="001274A4" w:rsidRDefault="00D10794" w:rsidP="00C42640">
      <w:pPr>
        <w:pStyle w:val="ListParagraph"/>
        <w:numPr>
          <w:ilvl w:val="0"/>
          <w:numId w:val="35"/>
        </w:numPr>
        <w:spacing w:after="0"/>
        <w:rPr>
          <w:bCs/>
        </w:rPr>
      </w:pPr>
      <w:r w:rsidRPr="001274A4">
        <w:rPr>
          <w:bCs/>
        </w:rPr>
        <w:t xml:space="preserve">The Briercliffe Primary Expansion project was previously reporting slipped delivery at quarter 3 due to planning issues and </w:t>
      </w:r>
      <w:proofErr w:type="spellStart"/>
      <w:r w:rsidRPr="001274A4">
        <w:rPr>
          <w:bCs/>
        </w:rPr>
        <w:t>Covid</w:t>
      </w:r>
      <w:proofErr w:type="spellEnd"/>
      <w:r w:rsidRPr="001274A4">
        <w:rPr>
          <w:bCs/>
        </w:rPr>
        <w:t xml:space="preserve"> related complications which necessitated variations to be instructed with the contractor. These delays have since been recovered and the build is back on programme. Additional delivery on the original delivery plan is reported of £0.035m and has surpassed delivery expectations at quarter 3 by £0.161m. </w:t>
      </w:r>
    </w:p>
    <w:p w14:paraId="1F31D3DB" w14:textId="77777777" w:rsidR="00D10794" w:rsidRPr="00911E46" w:rsidRDefault="00D10794" w:rsidP="00D10794">
      <w:pPr>
        <w:pStyle w:val="ListParagraph"/>
        <w:spacing w:after="0"/>
        <w:ind w:left="0"/>
        <w:rPr>
          <w:bCs/>
          <w:i/>
          <w:iCs/>
        </w:rPr>
      </w:pPr>
    </w:p>
    <w:p w14:paraId="55994309" w14:textId="77777777" w:rsidR="00D10794" w:rsidRPr="00C42640" w:rsidRDefault="00D10794" w:rsidP="00D10794">
      <w:pPr>
        <w:spacing w:after="0"/>
        <w:rPr>
          <w:b/>
        </w:rPr>
      </w:pPr>
      <w:r w:rsidRPr="00C42640">
        <w:rPr>
          <w:b/>
        </w:rPr>
        <w:t>Condition Programme</w:t>
      </w:r>
    </w:p>
    <w:p w14:paraId="73AD9F3C" w14:textId="77777777" w:rsidR="00D10794" w:rsidRPr="001274A4" w:rsidRDefault="00D10794" w:rsidP="00D10794">
      <w:pPr>
        <w:pStyle w:val="ListParagraph"/>
        <w:ind w:left="0"/>
      </w:pPr>
      <w:r w:rsidRPr="001274A4">
        <w:t xml:space="preserve">The Condition Programme delivers a variety of grant funded works to address priority condition issues at school buildings. The works are usually undertaken over the summer and half terms breaks to minimise disruption and includes works to replace boilers, flat roofs, windows, electrical wiring, plus legionella and asbestos remedials. </w:t>
      </w:r>
    </w:p>
    <w:p w14:paraId="66C2C15F" w14:textId="77777777" w:rsidR="00D10794" w:rsidRDefault="00D10794" w:rsidP="00D10794">
      <w:pPr>
        <w:pStyle w:val="ListParagraph"/>
        <w:ind w:left="0"/>
      </w:pPr>
      <w:r w:rsidRPr="001274A4">
        <w:t xml:space="preserve">Net underspends of -£0.264m are reported. However, these variances are against what was planned to be spent in year and the true overall savings made on the programme in the year are -£1.203m, which has been returned for reallocation to future schemes.  </w:t>
      </w:r>
    </w:p>
    <w:p w14:paraId="58814E06" w14:textId="77777777" w:rsidR="00D10794" w:rsidRPr="001274A4" w:rsidRDefault="00D10794" w:rsidP="00D10794">
      <w:pPr>
        <w:pStyle w:val="ListParagraph"/>
        <w:ind w:left="0"/>
      </w:pPr>
    </w:p>
    <w:p w14:paraId="739B2753" w14:textId="4BA1843B" w:rsidR="00D10794" w:rsidRDefault="00D10794" w:rsidP="00D10794">
      <w:pPr>
        <w:pStyle w:val="ListParagraph"/>
        <w:ind w:left="0"/>
      </w:pPr>
      <w:r w:rsidRPr="001274A4">
        <w:t>Slipped delivery totalling -£3.597m is reported where work was not able to progress this year as planned. The 2020/21 new starts programme of work is subsequently reporting slipped delivery of -£1.688m on projects that are now rescheduled to the ne</w:t>
      </w:r>
      <w:r w:rsidR="00525D8B">
        <w:t>w</w:t>
      </w:r>
      <w:r w:rsidRPr="001274A4">
        <w:t xml:space="preserve"> financial year. </w:t>
      </w:r>
    </w:p>
    <w:p w14:paraId="2240919E" w14:textId="77777777" w:rsidR="00D10794" w:rsidRPr="001274A4" w:rsidRDefault="00D10794" w:rsidP="00D10794">
      <w:pPr>
        <w:pStyle w:val="ListParagraph"/>
        <w:ind w:left="0"/>
      </w:pPr>
    </w:p>
    <w:p w14:paraId="221F149F" w14:textId="77777777" w:rsidR="00D10794" w:rsidRDefault="00D10794" w:rsidP="00D10794">
      <w:pPr>
        <w:pStyle w:val="ListParagraph"/>
        <w:ind w:left="0"/>
      </w:pPr>
      <w:r w:rsidRPr="001274A4">
        <w:t xml:space="preserve">Most of the slipped delivery variance reported refers to the </w:t>
      </w:r>
      <w:proofErr w:type="spellStart"/>
      <w:r w:rsidRPr="001274A4">
        <w:t>Rhyddings</w:t>
      </w:r>
      <w:proofErr w:type="spellEnd"/>
      <w:r w:rsidRPr="001274A4">
        <w:t xml:space="preserve"> High school rebuilding work. Delays to this major project were previously reported, caused by revised building regulations necessitating additional works, plus further structural and </w:t>
      </w:r>
      <w:r w:rsidRPr="001274A4">
        <w:lastRenderedPageBreak/>
        <w:t>electrical issues. Although these issues have resulted in slipped delivery of -£1.185m, this is more favourable than anticipated at quarter 3 by £0.616m as work has begun to progress well since the winter break. A revised programme has been issued with a planned completion date of August 2021.</w:t>
      </w:r>
    </w:p>
    <w:p w14:paraId="1D66D069" w14:textId="77777777" w:rsidR="00D10794" w:rsidRPr="001274A4" w:rsidRDefault="00D10794" w:rsidP="00D10794">
      <w:pPr>
        <w:pStyle w:val="ListParagraph"/>
        <w:ind w:left="0"/>
      </w:pPr>
    </w:p>
    <w:p w14:paraId="0C560BE9" w14:textId="4CA1ED08" w:rsidR="00D10794" w:rsidRDefault="00D10794" w:rsidP="00D10794">
      <w:pPr>
        <w:pStyle w:val="ListParagraph"/>
        <w:ind w:left="0"/>
      </w:pPr>
      <w:r w:rsidRPr="001274A4">
        <w:t>Smaller delivery delays totalling -£0.724m across several condition projects from prior year programmes are reported. The majority of these relate to the defects and liabilities period not being satisfied.</w:t>
      </w:r>
    </w:p>
    <w:p w14:paraId="7B0F20B9" w14:textId="77777777" w:rsidR="00525D8B" w:rsidRPr="001274A4" w:rsidRDefault="00525D8B" w:rsidP="00D10794">
      <w:pPr>
        <w:pStyle w:val="ListParagraph"/>
        <w:ind w:left="0"/>
      </w:pPr>
    </w:p>
    <w:p w14:paraId="5C13B339" w14:textId="77777777" w:rsidR="00D10794" w:rsidRDefault="00D10794" w:rsidP="00D10794">
      <w:pPr>
        <w:pStyle w:val="ListParagraph"/>
        <w:spacing w:after="0"/>
        <w:ind w:left="0"/>
      </w:pPr>
      <w:r w:rsidRPr="001274A4">
        <w:t xml:space="preserve">Additional delivery of £1.112m is reported across a number of projects, £0.583m of this being on projects in the new 2020/21 programme that have progressed in advance of programme by taking advantage of school closures to perform works not usually possible over autumn and winter. The remaining additional delivery variance is comprised mainly of small adjustments to settle final project costs on </w:t>
      </w:r>
      <w:proofErr w:type="gramStart"/>
      <w:r w:rsidRPr="001274A4">
        <w:t>a large number of</w:t>
      </w:r>
      <w:proofErr w:type="gramEnd"/>
      <w:r w:rsidRPr="001274A4">
        <w:t xml:space="preserve"> projects, totalling £0.402m and a few larger increases to project budgets across 4 projects resulting in £0.127m additional delivery in year.</w:t>
      </w:r>
    </w:p>
    <w:p w14:paraId="7ACF79C7" w14:textId="77777777" w:rsidR="00D10794" w:rsidRPr="00911E46" w:rsidRDefault="00D10794" w:rsidP="00D10794">
      <w:pPr>
        <w:pStyle w:val="ListParagraph"/>
        <w:spacing w:after="0"/>
        <w:ind w:left="0"/>
        <w:rPr>
          <w:i/>
          <w:iCs/>
        </w:rPr>
      </w:pPr>
    </w:p>
    <w:p w14:paraId="047FD2F7" w14:textId="77777777" w:rsidR="00D10794" w:rsidRPr="00C42640" w:rsidRDefault="00D10794" w:rsidP="00D10794">
      <w:pPr>
        <w:spacing w:after="0"/>
        <w:rPr>
          <w:b/>
        </w:rPr>
      </w:pPr>
      <w:r w:rsidRPr="00C42640">
        <w:rPr>
          <w:b/>
        </w:rPr>
        <w:t>Devolved Formula Capital (DFC)</w:t>
      </w:r>
    </w:p>
    <w:p w14:paraId="36CCF106" w14:textId="0E5AA14E" w:rsidR="00D10794" w:rsidRDefault="00D10794" w:rsidP="00D10794">
      <w:pPr>
        <w:pStyle w:val="ListParagraph"/>
        <w:spacing w:after="0"/>
        <w:ind w:left="0"/>
      </w:pPr>
      <w:r w:rsidRPr="001274A4">
        <w:t xml:space="preserve">The DFC programme is a grant funded programme for small to medium capital projects. It is allocated to schools individually on a formula basis by the DfE </w:t>
      </w:r>
      <w:proofErr w:type="gramStart"/>
      <w:r w:rsidRPr="001274A4">
        <w:t>in order for</w:t>
      </w:r>
      <w:proofErr w:type="gramEnd"/>
      <w:r w:rsidRPr="001274A4">
        <w:t xml:space="preserve"> schools to spend on capital projects, which they have freedom to commission themselves within expenditure guidelines. An outturn of £2.998m is reported giving an additional delivery variance of £0.572m. The </w:t>
      </w:r>
      <w:proofErr w:type="spellStart"/>
      <w:r w:rsidRPr="001274A4">
        <w:t>Covid</w:t>
      </w:r>
      <w:proofErr w:type="spellEnd"/>
      <w:r w:rsidRPr="001274A4">
        <w:t xml:space="preserve"> pandemic has not affected the uptake of DFC projects this year despite school closures with outturn expenditure being more than was originally estimated for the year. </w:t>
      </w:r>
      <w:r w:rsidR="00525D8B">
        <w:t>S</w:t>
      </w:r>
      <w:r w:rsidRPr="001274A4">
        <w:t xml:space="preserve">ome schools have been utilising DFC funding to implement </w:t>
      </w:r>
      <w:proofErr w:type="spellStart"/>
      <w:r w:rsidRPr="001274A4">
        <w:t>Covid</w:t>
      </w:r>
      <w:proofErr w:type="spellEnd"/>
      <w:r w:rsidRPr="001274A4">
        <w:t xml:space="preserve"> specific health and safety adjustments in preparation for re-opening. </w:t>
      </w:r>
    </w:p>
    <w:p w14:paraId="6F473BDC" w14:textId="617004CC" w:rsidR="00D10794" w:rsidRDefault="00D10794" w:rsidP="00D10794">
      <w:pPr>
        <w:pStyle w:val="ListParagraph"/>
        <w:spacing w:after="0"/>
        <w:ind w:left="0"/>
      </w:pPr>
    </w:p>
    <w:p w14:paraId="2174F84D" w14:textId="77777777" w:rsidR="00525D8B" w:rsidRPr="001274A4" w:rsidRDefault="00525D8B" w:rsidP="00D10794">
      <w:pPr>
        <w:pStyle w:val="ListParagraph"/>
        <w:spacing w:after="0"/>
        <w:ind w:left="0"/>
      </w:pPr>
    </w:p>
    <w:p w14:paraId="1AD0481B" w14:textId="77777777" w:rsidR="00D10794" w:rsidRDefault="00D10794" w:rsidP="00D10794">
      <w:pPr>
        <w:spacing w:after="0"/>
        <w:rPr>
          <w:b/>
        </w:rPr>
      </w:pPr>
      <w:r w:rsidRPr="001274A4">
        <w:rPr>
          <w:b/>
        </w:rPr>
        <w:t>Children and Young People (CYP)</w:t>
      </w:r>
    </w:p>
    <w:p w14:paraId="436AFDEA" w14:textId="77777777" w:rsidR="00D10794" w:rsidRPr="001274A4" w:rsidRDefault="00D10794" w:rsidP="00D10794">
      <w:pPr>
        <w:spacing w:after="0"/>
        <w:rPr>
          <w:b/>
        </w:rPr>
      </w:pPr>
    </w:p>
    <w:p w14:paraId="7A9BC622" w14:textId="77777777" w:rsidR="00D10794" w:rsidRDefault="00D10794" w:rsidP="00D10794">
      <w:pPr>
        <w:spacing w:after="0"/>
        <w:rPr>
          <w:rFonts w:cstheme="minorHAnsi"/>
          <w:b/>
        </w:rPr>
      </w:pPr>
      <w:r w:rsidRPr="001274A4">
        <w:rPr>
          <w:rFonts w:cstheme="minorHAnsi"/>
          <w:b/>
        </w:rPr>
        <w:t xml:space="preserve">The CYP capital programme has a 2020/21 delivery plan of £1.549m. The delivery plan has 3 schemes that were worked on this year. The final outturn position is £1.586m, a variance of £0.037m.  </w:t>
      </w:r>
    </w:p>
    <w:p w14:paraId="450CF52C" w14:textId="77777777" w:rsidR="00D10794" w:rsidRPr="001274A4" w:rsidRDefault="00D10794" w:rsidP="00D10794">
      <w:pPr>
        <w:spacing w:after="0"/>
        <w:rPr>
          <w:rFonts w:cstheme="minorHAnsi"/>
          <w:b/>
        </w:rPr>
      </w:pPr>
    </w:p>
    <w:p w14:paraId="1D266557" w14:textId="7E86A9D3" w:rsidR="00D10794" w:rsidRDefault="00D10794" w:rsidP="00A87DE9">
      <w:pPr>
        <w:spacing w:after="0"/>
        <w:rPr>
          <w:color w:val="000000" w:themeColor="text1"/>
        </w:rPr>
      </w:pPr>
      <w:r w:rsidRPr="001274A4">
        <w:t xml:space="preserve">In February 2020 a proposal was approved by </w:t>
      </w:r>
      <w:r>
        <w:t>C</w:t>
      </w:r>
      <w:r w:rsidRPr="001274A4">
        <w:t xml:space="preserve">abinet to develop a purpose-built short break unit for adults with disabilities and complex needs alongside the previously approved children's unit on the former North Cliffe special school site in Great Harwood. </w:t>
      </w:r>
      <w:r w:rsidRPr="001274A4">
        <w:rPr>
          <w:color w:val="000000" w:themeColor="text1"/>
        </w:rPr>
        <w:t xml:space="preserve">The demolition of the old school was successfully completed over the summer after some initial delays. An overall budget saving was achieved and has been transferred to the building project to fund the enabling works. A slipped delivery variance of -£0.016m refers to the final payment to the contractor which will now fall into the next financial year. </w:t>
      </w:r>
    </w:p>
    <w:p w14:paraId="0F2DF971" w14:textId="77777777" w:rsidR="00A87DE9" w:rsidRPr="001274A4" w:rsidRDefault="00A87DE9" w:rsidP="00A87DE9">
      <w:pPr>
        <w:spacing w:after="0"/>
        <w:rPr>
          <w:color w:val="000000" w:themeColor="text1"/>
        </w:rPr>
      </w:pPr>
    </w:p>
    <w:p w14:paraId="650A719A" w14:textId="3C27DAD8" w:rsidR="00D10794" w:rsidRPr="001274A4" w:rsidRDefault="00D10794" w:rsidP="00A87DE9">
      <w:pPr>
        <w:spacing w:after="0"/>
      </w:pPr>
      <w:r w:rsidRPr="001274A4">
        <w:t xml:space="preserve">The construction of the children's and adult's units is being delivered together </w:t>
      </w:r>
      <w:r w:rsidR="00A87DE9" w:rsidRPr="001274A4">
        <w:t>as one</w:t>
      </w:r>
      <w:r w:rsidRPr="001274A4">
        <w:t xml:space="preserve"> large separate project. The agreed maximum price was agreed with contractor within the approved budget and initial works began on site as planned in October 2020. However, an outstanding planning consent (which was eventually discharged) meant that forecast outturn was reported as significantly reduced in quarter 3 due </w:t>
      </w:r>
      <w:r w:rsidR="00A611B0">
        <w:t xml:space="preserve">to the </w:t>
      </w:r>
      <w:r w:rsidRPr="001274A4">
        <w:t xml:space="preserve">risk of delivery delays. A detailed programme of works was since provided by the contractor and with the build progressing well there was additional delivery of £0.052m in year. </w:t>
      </w:r>
    </w:p>
    <w:p w14:paraId="5CB50739" w14:textId="77777777" w:rsidR="00D10794" w:rsidRDefault="00D10794" w:rsidP="00D10794">
      <w:pPr>
        <w:spacing w:after="0"/>
      </w:pPr>
    </w:p>
    <w:p w14:paraId="27E2ED3A" w14:textId="77777777" w:rsidR="00D10794" w:rsidRDefault="00D10794" w:rsidP="00D10794">
      <w:pPr>
        <w:spacing w:after="0"/>
        <w:rPr>
          <w:b/>
          <w:bCs/>
        </w:rPr>
      </w:pPr>
      <w:r w:rsidRPr="00580648">
        <w:rPr>
          <w:b/>
          <w:bCs/>
        </w:rPr>
        <w:lastRenderedPageBreak/>
        <w:t>Highways</w:t>
      </w:r>
    </w:p>
    <w:p w14:paraId="47B3838A" w14:textId="77777777" w:rsidR="00D10794" w:rsidRDefault="00D10794" w:rsidP="00D10794">
      <w:pPr>
        <w:spacing w:after="0"/>
        <w:rPr>
          <w:b/>
          <w:bCs/>
        </w:rPr>
      </w:pPr>
    </w:p>
    <w:p w14:paraId="4CCA2B2F" w14:textId="77777777" w:rsidR="00D10794" w:rsidRDefault="00D10794" w:rsidP="00D10794">
      <w:pPr>
        <w:spacing w:after="0"/>
        <w:rPr>
          <w:rFonts w:cstheme="minorHAnsi"/>
          <w:b/>
        </w:rPr>
      </w:pPr>
      <w:r w:rsidRPr="00C1534B">
        <w:rPr>
          <w:rFonts w:cstheme="minorHAnsi"/>
          <w:b/>
        </w:rPr>
        <w:t xml:space="preserve">The </w:t>
      </w:r>
      <w:r>
        <w:rPr>
          <w:rFonts w:cstheme="minorHAnsi"/>
          <w:b/>
        </w:rPr>
        <w:t xml:space="preserve">Highways </w:t>
      </w:r>
      <w:r w:rsidRPr="00C1534B">
        <w:rPr>
          <w:rFonts w:cstheme="minorHAnsi"/>
          <w:b/>
        </w:rPr>
        <w:t>capital programme</w:t>
      </w:r>
      <w:r>
        <w:rPr>
          <w:rFonts w:cstheme="minorHAnsi"/>
          <w:b/>
        </w:rPr>
        <w:t xml:space="preserve"> </w:t>
      </w:r>
      <w:r w:rsidRPr="00C1534B">
        <w:rPr>
          <w:rFonts w:cstheme="minorHAnsi"/>
          <w:b/>
        </w:rPr>
        <w:t>has a 2020/21 delivery plan of £</w:t>
      </w:r>
      <w:r>
        <w:rPr>
          <w:rFonts w:cstheme="minorHAnsi"/>
          <w:b/>
        </w:rPr>
        <w:t>43.863</w:t>
      </w:r>
      <w:r w:rsidRPr="00C1534B">
        <w:rPr>
          <w:rFonts w:cstheme="minorHAnsi"/>
          <w:b/>
        </w:rPr>
        <w:t xml:space="preserve">m. The delivery plan has </w:t>
      </w:r>
      <w:r>
        <w:rPr>
          <w:rFonts w:cstheme="minorHAnsi"/>
          <w:b/>
        </w:rPr>
        <w:t xml:space="preserve">over 500 </w:t>
      </w:r>
      <w:r w:rsidRPr="00C1534B">
        <w:rPr>
          <w:rFonts w:cstheme="minorHAnsi"/>
          <w:b/>
        </w:rPr>
        <w:t xml:space="preserve">schemes that </w:t>
      </w:r>
      <w:r>
        <w:rPr>
          <w:rFonts w:cstheme="minorHAnsi"/>
          <w:b/>
        </w:rPr>
        <w:t xml:space="preserve">were </w:t>
      </w:r>
      <w:r w:rsidRPr="00C1534B">
        <w:rPr>
          <w:rFonts w:cstheme="minorHAnsi"/>
          <w:b/>
        </w:rPr>
        <w:t xml:space="preserve">worked on this year. The </w:t>
      </w:r>
      <w:r>
        <w:rPr>
          <w:rFonts w:cstheme="minorHAnsi"/>
          <w:b/>
        </w:rPr>
        <w:t xml:space="preserve">final </w:t>
      </w:r>
      <w:r w:rsidRPr="00C1534B">
        <w:rPr>
          <w:rFonts w:cstheme="minorHAnsi"/>
          <w:b/>
        </w:rPr>
        <w:t xml:space="preserve">outturn </w:t>
      </w:r>
      <w:r>
        <w:rPr>
          <w:rFonts w:cstheme="minorHAnsi"/>
          <w:b/>
        </w:rPr>
        <w:t xml:space="preserve">position </w:t>
      </w:r>
      <w:r w:rsidRPr="00C1534B">
        <w:rPr>
          <w:rFonts w:cstheme="minorHAnsi"/>
          <w:b/>
        </w:rPr>
        <w:t>is £</w:t>
      </w:r>
      <w:r>
        <w:rPr>
          <w:rFonts w:cstheme="minorHAnsi"/>
          <w:b/>
        </w:rPr>
        <w:t>47.342</w:t>
      </w:r>
      <w:r w:rsidRPr="00C1534B">
        <w:rPr>
          <w:rFonts w:cstheme="minorHAnsi"/>
          <w:b/>
        </w:rPr>
        <w:t xml:space="preserve">m, a variance of </w:t>
      </w:r>
      <w:r>
        <w:rPr>
          <w:rFonts w:cstheme="minorHAnsi"/>
          <w:b/>
        </w:rPr>
        <w:t>£3.479</w:t>
      </w:r>
      <w:r w:rsidRPr="00C1534B">
        <w:rPr>
          <w:rFonts w:cstheme="minorHAnsi"/>
          <w:b/>
        </w:rPr>
        <w:t>m.</w:t>
      </w:r>
      <w:r w:rsidRPr="00665661">
        <w:rPr>
          <w:rFonts w:cstheme="minorHAnsi"/>
          <w:b/>
        </w:rPr>
        <w:t xml:space="preserve">  </w:t>
      </w:r>
    </w:p>
    <w:p w14:paraId="02E7930E" w14:textId="77777777" w:rsidR="00D10794" w:rsidRPr="00665661" w:rsidRDefault="00D10794" w:rsidP="00D10794">
      <w:pPr>
        <w:spacing w:after="0"/>
        <w:rPr>
          <w:rFonts w:cstheme="minorHAnsi"/>
          <w:b/>
        </w:rPr>
      </w:pPr>
    </w:p>
    <w:p w14:paraId="09011F8F" w14:textId="77777777" w:rsidR="00D10794" w:rsidRDefault="00D10794" w:rsidP="00D10794">
      <w:pPr>
        <w:spacing w:after="0"/>
      </w:pPr>
      <w:r>
        <w:t xml:space="preserve">The outturn variance is mainly due to the impact of </w:t>
      </w:r>
      <w:proofErr w:type="spellStart"/>
      <w:r>
        <w:t>Covid</w:t>
      </w:r>
      <w:proofErr w:type="spellEnd"/>
      <w:r>
        <w:t xml:space="preserve"> on the delivery of the programme. When the delivery plan was set in June 2020 it was uncertain whether there would be further lockdowns and what effect social distancing, sickness levels and self-isolating would have on the delivery of the programme, for that reason the delivery plan set was a cautious estimate of what could be delivered.</w:t>
      </w:r>
    </w:p>
    <w:p w14:paraId="0B246F85" w14:textId="77777777" w:rsidR="00D10794" w:rsidRDefault="00D10794" w:rsidP="00D10794">
      <w:pPr>
        <w:spacing w:after="0"/>
      </w:pPr>
    </w:p>
    <w:p w14:paraId="0FD6FF20" w14:textId="77777777" w:rsidR="00D10794" w:rsidRDefault="00D10794" w:rsidP="00D10794">
      <w:pPr>
        <w:spacing w:after="0"/>
      </w:pPr>
      <w:r>
        <w:t>A summary of the main variances within the block are given below:</w:t>
      </w:r>
    </w:p>
    <w:p w14:paraId="46063396" w14:textId="77777777" w:rsidR="00D10794" w:rsidRDefault="00D10794" w:rsidP="00D10794">
      <w:pPr>
        <w:spacing w:after="0"/>
      </w:pPr>
    </w:p>
    <w:p w14:paraId="76F5E6F1" w14:textId="40F68B39" w:rsidR="00D10794" w:rsidRDefault="00D10794" w:rsidP="00D10794">
      <w:pPr>
        <w:spacing w:after="0"/>
      </w:pPr>
      <w:r>
        <w:t xml:space="preserve">The projected overspend on Structural Defects of £1m at quarter 3 was forecast due to the continued Health &amp; Safety Inspection policy on intervention levels and response times, coupled with our method to improve quality and increase size of the repair where necessary. The actual </w:t>
      </w:r>
      <w:proofErr w:type="gramStart"/>
      <w:r>
        <w:t>overspend</w:t>
      </w:r>
      <w:proofErr w:type="gramEnd"/>
      <w:r>
        <w:t xml:space="preserve"> increased to £1.601m due to winter weather conditions from January onwards which meant a</w:t>
      </w:r>
      <w:r w:rsidR="00A611B0">
        <w:t xml:space="preserve"> higher than anticipated</w:t>
      </w:r>
      <w:r>
        <w:t xml:space="preserve"> number of highway defects were identified in quarter four.</w:t>
      </w:r>
    </w:p>
    <w:p w14:paraId="52A9A981" w14:textId="77777777" w:rsidR="00D10794" w:rsidRDefault="00D10794" w:rsidP="00D10794">
      <w:pPr>
        <w:spacing w:after="0"/>
      </w:pPr>
    </w:p>
    <w:p w14:paraId="51D8A0BD" w14:textId="77777777" w:rsidR="00D10794" w:rsidRDefault="00D10794" w:rsidP="00D10794">
      <w:pPr>
        <w:spacing w:after="0"/>
      </w:pPr>
      <w:r w:rsidRPr="00846A44">
        <w:t>As a result of an additional investment of £5m being added to the programme in February 2020, the ABC and urban roads programmes were expanded with a prudent view of what could be delivered on top of the original agreed programme. Delivery progressed better than anticipated causing an additional delivery variance of £1.382m on the programmes.</w:t>
      </w:r>
    </w:p>
    <w:p w14:paraId="7E9B5B8E" w14:textId="77777777" w:rsidR="00D10794" w:rsidRDefault="00D10794" w:rsidP="00D10794">
      <w:pPr>
        <w:spacing w:after="0"/>
      </w:pPr>
    </w:p>
    <w:p w14:paraId="2914622E" w14:textId="77777777" w:rsidR="00D10794" w:rsidRDefault="00D10794" w:rsidP="00D10794">
      <w:pPr>
        <w:spacing w:after="0"/>
      </w:pPr>
      <w:r>
        <w:t>There is an additional delivery variance on the street lighting defect programme of £0.191m due to updating some of the school crossing flashing lights, increase in traffic management costs and approval to do some repairs that involved Highways England closures plus replacing some lanterns which were not part of SALIX or under warranty.</w:t>
      </w:r>
    </w:p>
    <w:p w14:paraId="0E07417A" w14:textId="77777777" w:rsidR="00D10794" w:rsidRDefault="00D10794" w:rsidP="00D10794">
      <w:pPr>
        <w:spacing w:after="0"/>
      </w:pPr>
      <w:r w:rsidRPr="000C1030">
        <w:t>More progress has been made on the Skid Resistance Programme resulting in advanced delivery of £231k.</w:t>
      </w:r>
    </w:p>
    <w:p w14:paraId="476792BA" w14:textId="77777777" w:rsidR="00D10794" w:rsidRPr="000C1030" w:rsidRDefault="00D10794" w:rsidP="00D10794">
      <w:pPr>
        <w:spacing w:after="0"/>
      </w:pPr>
    </w:p>
    <w:p w14:paraId="6B74C641" w14:textId="77777777" w:rsidR="00D10794" w:rsidRDefault="00D10794" w:rsidP="00D10794">
      <w:pPr>
        <w:spacing w:after="0"/>
      </w:pPr>
      <w:r w:rsidRPr="00EE439E">
        <w:t>In the planned additional maintenance programme additional delivery of £0.246m is mainly due to the completion of works on the Hodder Land slip which wasn't included in the delivery programme.</w:t>
      </w:r>
    </w:p>
    <w:p w14:paraId="79E69FE6" w14:textId="77777777" w:rsidR="00D10794" w:rsidRPr="00EE439E" w:rsidRDefault="00D10794" w:rsidP="00D10794">
      <w:pPr>
        <w:spacing w:after="0"/>
      </w:pPr>
    </w:p>
    <w:p w14:paraId="1F91372A" w14:textId="77777777" w:rsidR="00D10794" w:rsidRDefault="00D10794" w:rsidP="00D10794">
      <w:pPr>
        <w:spacing w:after="0"/>
      </w:pPr>
      <w:r w:rsidRPr="00EE439E">
        <w:t xml:space="preserve">The completion of works at Lafford Lane and Parsonage Lane has contributed to the additional delivery of £0.222m on the Rural Unclassified Programme. </w:t>
      </w:r>
    </w:p>
    <w:p w14:paraId="20FDFC6F" w14:textId="77777777" w:rsidR="00D10794" w:rsidRPr="00EE439E" w:rsidRDefault="00D10794" w:rsidP="00D10794">
      <w:pPr>
        <w:spacing w:after="0"/>
      </w:pPr>
    </w:p>
    <w:p w14:paraId="4AC9EE50" w14:textId="77777777" w:rsidR="00D10794" w:rsidRDefault="00D10794" w:rsidP="00D10794">
      <w:pPr>
        <w:spacing w:after="0"/>
      </w:pPr>
      <w:r w:rsidRPr="00EE439E">
        <w:t>Additional delivery of £0.532m due to work commencing earlier than anticipated on 3 schemes in the Moss Roads programme.</w:t>
      </w:r>
    </w:p>
    <w:p w14:paraId="3FC8518C" w14:textId="77777777" w:rsidR="00D10794" w:rsidRPr="00EE439E" w:rsidRDefault="00D10794" w:rsidP="00D10794">
      <w:pPr>
        <w:spacing w:after="0"/>
      </w:pPr>
    </w:p>
    <w:p w14:paraId="02ED4393" w14:textId="77777777" w:rsidR="00D10794" w:rsidRDefault="00D10794" w:rsidP="00D10794">
      <w:pPr>
        <w:spacing w:after="0"/>
      </w:pPr>
      <w:r w:rsidRPr="00846A44">
        <w:t>Additional delivery of £1.566m in the ABC programme is mainly due to some prior year surface dressing and pre-patching schemes being delivered.</w:t>
      </w:r>
    </w:p>
    <w:p w14:paraId="63461E77" w14:textId="77777777" w:rsidR="00D10794" w:rsidRPr="00846A44" w:rsidRDefault="00D10794" w:rsidP="00D10794">
      <w:pPr>
        <w:spacing w:after="0"/>
      </w:pPr>
    </w:p>
    <w:p w14:paraId="140BA0B0" w14:textId="77777777" w:rsidR="00D10794" w:rsidRDefault="00D10794" w:rsidP="00D10794">
      <w:pPr>
        <w:spacing w:after="0"/>
      </w:pPr>
      <w:r w:rsidRPr="001447BE">
        <w:t>The bridges structural maintenance programme has delivered an additional £0.605m of projects. The programme was developed when the first lockdown was in force across the country. Since the lockdown restrictions were eased, the bridges structural maintenance team and highways have been able to deliver more work than initially anticipated.</w:t>
      </w:r>
    </w:p>
    <w:p w14:paraId="1D20482C" w14:textId="77777777" w:rsidR="00D10794" w:rsidRPr="001447BE" w:rsidRDefault="00D10794" w:rsidP="00D10794">
      <w:pPr>
        <w:spacing w:after="0"/>
      </w:pPr>
    </w:p>
    <w:p w14:paraId="7A7D775A" w14:textId="77C8C321" w:rsidR="00D10794" w:rsidRDefault="00D10794" w:rsidP="00D10794">
      <w:pPr>
        <w:spacing w:after="0"/>
      </w:pPr>
      <w:r w:rsidRPr="003A518F">
        <w:lastRenderedPageBreak/>
        <w:t>Several schemes in the patched carriageways and footways programme were deemed as being at risk due to needing high pressure water retexturing prior to dressing. It was thought these schemes would not be available for the surface dressing season, however some were able to be delivered</w:t>
      </w:r>
      <w:r w:rsidR="00273483">
        <w:t xml:space="preserve"> totalling</w:t>
      </w:r>
      <w:r w:rsidRPr="003A518F">
        <w:t xml:space="preserve"> £0.264m.</w:t>
      </w:r>
    </w:p>
    <w:p w14:paraId="3A58C0D1" w14:textId="77777777" w:rsidR="00D10794" w:rsidRPr="003A518F" w:rsidRDefault="00D10794" w:rsidP="00D10794">
      <w:pPr>
        <w:spacing w:after="0"/>
      </w:pPr>
    </w:p>
    <w:p w14:paraId="79E9D4FC" w14:textId="4D47D04A" w:rsidR="00D10794" w:rsidRDefault="00D10794" w:rsidP="00D10794">
      <w:pPr>
        <w:spacing w:after="0"/>
      </w:pPr>
      <w:r w:rsidRPr="00704DED">
        <w:t xml:space="preserve">Salix slippage of -£0.901m is primarily due to the two </w:t>
      </w:r>
      <w:proofErr w:type="spellStart"/>
      <w:r w:rsidRPr="00704DED">
        <w:t>Covid</w:t>
      </w:r>
      <w:proofErr w:type="spellEnd"/>
      <w:r w:rsidRPr="00704DED">
        <w:t xml:space="preserve"> lockdowns. This has resulted in </w:t>
      </w:r>
      <w:proofErr w:type="gramStart"/>
      <w:r w:rsidRPr="00704DED">
        <w:t>a number of</w:t>
      </w:r>
      <w:proofErr w:type="gramEnd"/>
      <w:r w:rsidRPr="00704DED">
        <w:t xml:space="preserve"> staff being off due to shielding or sickness and also access has been restricted due to parked cars.  There have also been some supplier issues whilst they have had to ad</w:t>
      </w:r>
      <w:r w:rsidR="00273483">
        <w:t>o</w:t>
      </w:r>
      <w:r w:rsidRPr="00704DED">
        <w:t>pt new ways of working.</w:t>
      </w:r>
    </w:p>
    <w:p w14:paraId="0FE25A11" w14:textId="77777777" w:rsidR="00273483" w:rsidRPr="00704DED" w:rsidRDefault="00273483" w:rsidP="00D10794">
      <w:pPr>
        <w:spacing w:after="0"/>
      </w:pPr>
    </w:p>
    <w:p w14:paraId="1A9CB731" w14:textId="77777777" w:rsidR="00D10794" w:rsidRDefault="00D10794" w:rsidP="00D10794">
      <w:pPr>
        <w:spacing w:after="0"/>
      </w:pPr>
      <w:r w:rsidRPr="008A2F0C">
        <w:t>The traffic signal programme reports slippage of -£0.376m. This is due to a review of the programme of works initially planned as deliverable which consequently led to changes to the schemes that will be delivered.</w:t>
      </w:r>
    </w:p>
    <w:p w14:paraId="092C9F28" w14:textId="77777777" w:rsidR="00D10794" w:rsidRPr="008A2F0C" w:rsidRDefault="00D10794" w:rsidP="00D10794">
      <w:pPr>
        <w:spacing w:after="0"/>
      </w:pPr>
    </w:p>
    <w:p w14:paraId="0FE27888" w14:textId="77777777" w:rsidR="00D10794" w:rsidRDefault="00D10794" w:rsidP="00D10794">
      <w:pPr>
        <w:spacing w:after="0"/>
      </w:pPr>
      <w:r w:rsidRPr="00C87A40">
        <w:t>Repairs at Walmsley Bridge Lane and West Bradford bridge have been delayed due to legal and design delays contributing to the -£0.373m slippage in the storm damage programme.</w:t>
      </w:r>
    </w:p>
    <w:p w14:paraId="7E36B951" w14:textId="77777777" w:rsidR="00D10794" w:rsidRDefault="00D10794" w:rsidP="00D10794">
      <w:pPr>
        <w:spacing w:after="0"/>
      </w:pPr>
    </w:p>
    <w:p w14:paraId="1470564F" w14:textId="77777777" w:rsidR="00D10794" w:rsidRDefault="00D10794" w:rsidP="00D10794">
      <w:pPr>
        <w:spacing w:after="0"/>
      </w:pPr>
      <w:r w:rsidRPr="00980EB2">
        <w:t xml:space="preserve">Delays caused by </w:t>
      </w:r>
      <w:proofErr w:type="spellStart"/>
      <w:r w:rsidRPr="00980EB2">
        <w:t>Covid</w:t>
      </w:r>
      <w:proofErr w:type="spellEnd"/>
      <w:r w:rsidRPr="00980EB2">
        <w:t xml:space="preserve"> lockdowns caused delays to the award of the contract for vehicle replacement barriers has led to slippage of -£0.532m as well as delays to storm damage schemes causing slippage of -£0.564m. </w:t>
      </w:r>
    </w:p>
    <w:p w14:paraId="34ABCE2C" w14:textId="77777777" w:rsidR="00D10794" w:rsidRPr="00980EB2" w:rsidRDefault="00D10794" w:rsidP="00D10794">
      <w:pPr>
        <w:spacing w:after="0"/>
      </w:pPr>
    </w:p>
    <w:p w14:paraId="3E112DAD" w14:textId="77777777" w:rsidR="00D10794" w:rsidRDefault="00D10794" w:rsidP="00D10794">
      <w:pPr>
        <w:spacing w:after="0"/>
      </w:pPr>
      <w:r w:rsidRPr="00980EB2">
        <w:t>Within the ABC schemes funded from the Transport Infrastructure Investment Fund some of the schemes have required supply chain involvement who have just recently been appointed as part of the Safer Roads programme. This has resulted in delays to the delivery programme causing a slippage variance of -£0.557m.</w:t>
      </w:r>
    </w:p>
    <w:p w14:paraId="34120876" w14:textId="77777777" w:rsidR="00D10794" w:rsidRPr="00980EB2" w:rsidRDefault="00D10794" w:rsidP="00D10794">
      <w:pPr>
        <w:spacing w:after="0"/>
      </w:pPr>
    </w:p>
    <w:p w14:paraId="32DB5CB4" w14:textId="77777777" w:rsidR="00D10794" w:rsidRDefault="00D10794" w:rsidP="00D10794">
      <w:pPr>
        <w:spacing w:after="0"/>
      </w:pPr>
      <w:r w:rsidRPr="00980EB2">
        <w:t>Slippage on the Bridge maintenance programme of -£0.641m is due mainly to a reduced design cost in this year on A601M and the impact of COVID on delivery of some schemes.</w:t>
      </w:r>
    </w:p>
    <w:p w14:paraId="248023F5" w14:textId="77777777" w:rsidR="00D10794" w:rsidRPr="00980EB2" w:rsidRDefault="00D10794" w:rsidP="00D10794">
      <w:pPr>
        <w:spacing w:after="0"/>
      </w:pPr>
    </w:p>
    <w:p w14:paraId="62F03B2E" w14:textId="77777777" w:rsidR="00D10794" w:rsidRDefault="00D10794" w:rsidP="00D10794">
      <w:pPr>
        <w:spacing w:after="0"/>
        <w:rPr>
          <w:b/>
          <w:bCs/>
        </w:rPr>
      </w:pPr>
      <w:r w:rsidRPr="00651DD3">
        <w:rPr>
          <w:b/>
          <w:bCs/>
        </w:rPr>
        <w:t xml:space="preserve">Transport </w:t>
      </w:r>
    </w:p>
    <w:p w14:paraId="351B30FF" w14:textId="77777777" w:rsidR="00D10794" w:rsidRPr="00651DD3" w:rsidRDefault="00D10794" w:rsidP="00D10794">
      <w:pPr>
        <w:spacing w:after="0"/>
      </w:pPr>
    </w:p>
    <w:p w14:paraId="6F3385F1" w14:textId="77777777" w:rsidR="00D10794" w:rsidRDefault="00D10794" w:rsidP="00D10794">
      <w:pPr>
        <w:spacing w:after="0"/>
        <w:rPr>
          <w:rFonts w:cstheme="minorHAnsi"/>
          <w:b/>
        </w:rPr>
      </w:pPr>
      <w:r w:rsidRPr="00C1534B">
        <w:rPr>
          <w:rFonts w:cstheme="minorHAnsi"/>
          <w:b/>
        </w:rPr>
        <w:t xml:space="preserve">The </w:t>
      </w:r>
      <w:r>
        <w:rPr>
          <w:rFonts w:cstheme="minorHAnsi"/>
          <w:b/>
        </w:rPr>
        <w:t xml:space="preserve">Transport </w:t>
      </w:r>
      <w:r w:rsidRPr="00C1534B">
        <w:rPr>
          <w:rFonts w:cstheme="minorHAnsi"/>
          <w:b/>
        </w:rPr>
        <w:t>capital programme</w:t>
      </w:r>
      <w:r>
        <w:rPr>
          <w:rFonts w:cstheme="minorHAnsi"/>
          <w:b/>
        </w:rPr>
        <w:t xml:space="preserve"> </w:t>
      </w:r>
      <w:r w:rsidRPr="00C1534B">
        <w:rPr>
          <w:rFonts w:cstheme="minorHAnsi"/>
          <w:b/>
        </w:rPr>
        <w:t>has a 2020/21 delivery plan of £</w:t>
      </w:r>
      <w:r>
        <w:rPr>
          <w:rFonts w:cstheme="minorHAnsi"/>
          <w:b/>
        </w:rPr>
        <w:t>22.343</w:t>
      </w:r>
      <w:r w:rsidRPr="00C1534B">
        <w:rPr>
          <w:rFonts w:cstheme="minorHAnsi"/>
          <w:b/>
        </w:rPr>
        <w:t xml:space="preserve">m. The delivery plan has </w:t>
      </w:r>
      <w:r>
        <w:rPr>
          <w:rFonts w:cstheme="minorHAnsi"/>
          <w:b/>
        </w:rPr>
        <w:t xml:space="preserve">over 132 </w:t>
      </w:r>
      <w:r w:rsidRPr="00C1534B">
        <w:rPr>
          <w:rFonts w:cstheme="minorHAnsi"/>
          <w:b/>
        </w:rPr>
        <w:t xml:space="preserve">schemes that </w:t>
      </w:r>
      <w:r>
        <w:rPr>
          <w:rFonts w:cstheme="minorHAnsi"/>
          <w:b/>
        </w:rPr>
        <w:t xml:space="preserve">were </w:t>
      </w:r>
      <w:r w:rsidRPr="00C1534B">
        <w:rPr>
          <w:rFonts w:cstheme="minorHAnsi"/>
          <w:b/>
        </w:rPr>
        <w:t xml:space="preserve">worked on this year. The </w:t>
      </w:r>
      <w:r>
        <w:rPr>
          <w:rFonts w:cstheme="minorHAnsi"/>
          <w:b/>
        </w:rPr>
        <w:t xml:space="preserve">final </w:t>
      </w:r>
      <w:r w:rsidRPr="00C1534B">
        <w:rPr>
          <w:rFonts w:cstheme="minorHAnsi"/>
          <w:b/>
        </w:rPr>
        <w:t xml:space="preserve">outturn </w:t>
      </w:r>
      <w:r>
        <w:rPr>
          <w:rFonts w:cstheme="minorHAnsi"/>
          <w:b/>
        </w:rPr>
        <w:t xml:space="preserve">position </w:t>
      </w:r>
      <w:r w:rsidRPr="00C1534B">
        <w:rPr>
          <w:rFonts w:cstheme="minorHAnsi"/>
          <w:b/>
        </w:rPr>
        <w:t>is £</w:t>
      </w:r>
      <w:r>
        <w:rPr>
          <w:rFonts w:cstheme="minorHAnsi"/>
          <w:b/>
        </w:rPr>
        <w:t>11.653</w:t>
      </w:r>
      <w:r w:rsidRPr="00C1534B">
        <w:rPr>
          <w:rFonts w:cstheme="minorHAnsi"/>
          <w:b/>
        </w:rPr>
        <w:t xml:space="preserve">m, a variance of </w:t>
      </w:r>
      <w:r>
        <w:rPr>
          <w:rFonts w:cstheme="minorHAnsi"/>
          <w:b/>
        </w:rPr>
        <w:t>-£10.690</w:t>
      </w:r>
      <w:r w:rsidRPr="00C1534B">
        <w:rPr>
          <w:rFonts w:cstheme="minorHAnsi"/>
          <w:b/>
        </w:rPr>
        <w:t>m.</w:t>
      </w:r>
      <w:r w:rsidRPr="00665661">
        <w:rPr>
          <w:rFonts w:cstheme="minorHAnsi"/>
          <w:b/>
        </w:rPr>
        <w:t xml:space="preserve">  </w:t>
      </w:r>
    </w:p>
    <w:p w14:paraId="26A6708E" w14:textId="77777777" w:rsidR="00D10794" w:rsidRPr="00665661" w:rsidRDefault="00D10794" w:rsidP="00D10794">
      <w:pPr>
        <w:spacing w:after="0"/>
        <w:rPr>
          <w:rFonts w:cstheme="minorHAnsi"/>
          <w:b/>
        </w:rPr>
      </w:pPr>
    </w:p>
    <w:p w14:paraId="5A38B0C1" w14:textId="77777777" w:rsidR="00D10794" w:rsidRDefault="00D10794" w:rsidP="00D10794">
      <w:pPr>
        <w:spacing w:after="0"/>
      </w:pPr>
      <w:r w:rsidRPr="0045166C">
        <w:t>A summary of the main variations within the block is given below</w:t>
      </w:r>
      <w:r>
        <w:t>:</w:t>
      </w:r>
    </w:p>
    <w:p w14:paraId="4BE1CCA8" w14:textId="77777777" w:rsidR="00D10794" w:rsidRPr="0045166C" w:rsidRDefault="00D10794" w:rsidP="00D10794">
      <w:pPr>
        <w:spacing w:after="0"/>
      </w:pPr>
    </w:p>
    <w:p w14:paraId="30751C21" w14:textId="570E84C4" w:rsidR="00D10794" w:rsidRDefault="00D10794" w:rsidP="00D10794">
      <w:pPr>
        <w:spacing w:after="0"/>
        <w:rPr>
          <w:bCs/>
        </w:rPr>
      </w:pPr>
      <w:r w:rsidRPr="00EB05B5">
        <w:rPr>
          <w:bCs/>
        </w:rPr>
        <w:t>Lancashire Safer Travel Restart -</w:t>
      </w:r>
      <w:r w:rsidR="00273483">
        <w:rPr>
          <w:bCs/>
        </w:rPr>
        <w:t xml:space="preserve"> </w:t>
      </w:r>
      <w:r w:rsidRPr="00EB05B5">
        <w:rPr>
          <w:bCs/>
        </w:rPr>
        <w:t xml:space="preserve">Lancashire was awarded £3.501m of a £250m emergency fund for </w:t>
      </w:r>
      <w:proofErr w:type="spellStart"/>
      <w:r w:rsidRPr="00EB05B5">
        <w:rPr>
          <w:bCs/>
        </w:rPr>
        <w:t>Covid</w:t>
      </w:r>
      <w:proofErr w:type="spellEnd"/>
      <w:r w:rsidRPr="00EB05B5">
        <w:rPr>
          <w:bCs/>
        </w:rPr>
        <w:t xml:space="preserve"> recovery. This is to be utilised for schemes reallocating road space for pop-up bike lanes, wider pavements, </w:t>
      </w:r>
      <w:proofErr w:type="gramStart"/>
      <w:r w:rsidRPr="00EB05B5">
        <w:rPr>
          <w:bCs/>
        </w:rPr>
        <w:t>cycle</w:t>
      </w:r>
      <w:proofErr w:type="gramEnd"/>
      <w:r w:rsidRPr="00EB05B5">
        <w:rPr>
          <w:bCs/>
        </w:rPr>
        <w:t xml:space="preserve"> and bus-only streets alongside interventions to support schools, signing and messaging and communication.  Of this award £0.782m has been received and £0.592m was spent in 2020/21. </w:t>
      </w:r>
      <w:r w:rsidR="00273483">
        <w:rPr>
          <w:bCs/>
        </w:rPr>
        <w:t xml:space="preserve"> </w:t>
      </w:r>
      <w:r w:rsidRPr="00EB05B5">
        <w:rPr>
          <w:bCs/>
        </w:rPr>
        <w:t>The remaining Grant receipts are expected to be received and forecast to be spent in 2021/22</w:t>
      </w:r>
      <w:r>
        <w:rPr>
          <w:bCs/>
        </w:rPr>
        <w:t>.</w:t>
      </w:r>
    </w:p>
    <w:p w14:paraId="17C4E253" w14:textId="77777777" w:rsidR="00D10794" w:rsidRPr="00EB05B5" w:rsidRDefault="00D10794" w:rsidP="00D10794">
      <w:pPr>
        <w:spacing w:after="0"/>
        <w:rPr>
          <w:bCs/>
        </w:rPr>
      </w:pPr>
    </w:p>
    <w:p w14:paraId="772B56CD" w14:textId="4F218939" w:rsidR="00D10794" w:rsidRDefault="00D10794" w:rsidP="00D10794">
      <w:pPr>
        <w:spacing w:after="0"/>
        <w:rPr>
          <w:bCs/>
        </w:rPr>
      </w:pPr>
      <w:r w:rsidRPr="00EB05B5">
        <w:rPr>
          <w:bCs/>
        </w:rPr>
        <w:t>Safer Roads Scheme</w:t>
      </w:r>
      <w:r w:rsidR="00273483">
        <w:rPr>
          <w:bCs/>
        </w:rPr>
        <w:t xml:space="preserve"> </w:t>
      </w:r>
      <w:r w:rsidRPr="00EB05B5">
        <w:rPr>
          <w:bCs/>
        </w:rPr>
        <w:t xml:space="preserve">- </w:t>
      </w:r>
      <w:r w:rsidR="00273483">
        <w:rPr>
          <w:bCs/>
        </w:rPr>
        <w:t>t</w:t>
      </w:r>
      <w:r w:rsidRPr="00EB05B5">
        <w:rPr>
          <w:bCs/>
        </w:rPr>
        <w:t>he process was held up by the lockdown</w:t>
      </w:r>
      <w:r w:rsidR="00273483">
        <w:rPr>
          <w:bCs/>
        </w:rPr>
        <w:t>s</w:t>
      </w:r>
      <w:r w:rsidRPr="00EB05B5">
        <w:rPr>
          <w:bCs/>
        </w:rPr>
        <w:t xml:space="preserve"> and subsequent delays mean</w:t>
      </w:r>
      <w:r w:rsidR="00273483">
        <w:rPr>
          <w:bCs/>
        </w:rPr>
        <w:t>ing</w:t>
      </w:r>
      <w:r w:rsidRPr="00EB05B5">
        <w:rPr>
          <w:bCs/>
        </w:rPr>
        <w:t xml:space="preserve"> that tenders were only assessed from quarter 3 onwards. The final outturn resulted in in -£0.760m slipping into 2021/22 which will be completed with the rest of the operational work.  </w:t>
      </w:r>
    </w:p>
    <w:p w14:paraId="54ADEFB5" w14:textId="77777777" w:rsidR="00D10794" w:rsidRPr="00EB05B5" w:rsidRDefault="00D10794" w:rsidP="00D10794">
      <w:pPr>
        <w:spacing w:after="0"/>
        <w:rPr>
          <w:bCs/>
        </w:rPr>
      </w:pPr>
    </w:p>
    <w:p w14:paraId="2FD1C8B3" w14:textId="77777777" w:rsidR="00D10794" w:rsidRDefault="00D10794" w:rsidP="00D10794">
      <w:pPr>
        <w:spacing w:after="0"/>
        <w:rPr>
          <w:bCs/>
        </w:rPr>
      </w:pPr>
      <w:r w:rsidRPr="00EB05B5">
        <w:rPr>
          <w:bCs/>
        </w:rPr>
        <w:lastRenderedPageBreak/>
        <w:t xml:space="preserve">Road safety - </w:t>
      </w:r>
      <w:proofErr w:type="gramStart"/>
      <w:r w:rsidRPr="00EB05B5">
        <w:rPr>
          <w:bCs/>
        </w:rPr>
        <w:t>A number of</w:t>
      </w:r>
      <w:proofErr w:type="gramEnd"/>
      <w:r w:rsidRPr="00EB05B5">
        <w:rPr>
          <w:bCs/>
        </w:rPr>
        <w:t xml:space="preserve"> schemes included in the original delivery plan were reviewed during the year due to the new circumstances, and adjustments to their design and scope resulted in underspends of -£0.065m.  The service was affected by staffing resources being reassigned to other </w:t>
      </w:r>
      <w:proofErr w:type="spellStart"/>
      <w:r w:rsidRPr="00EB05B5">
        <w:rPr>
          <w:bCs/>
        </w:rPr>
        <w:t>Covid</w:t>
      </w:r>
      <w:proofErr w:type="spellEnd"/>
      <w:r w:rsidRPr="00EB05B5">
        <w:rPr>
          <w:bCs/>
        </w:rPr>
        <w:t xml:space="preserve"> related transport projects causing -£0.727m of work to slip into future periods.</w:t>
      </w:r>
    </w:p>
    <w:p w14:paraId="1E0D3B9E" w14:textId="77777777" w:rsidR="00D10794" w:rsidRPr="00EB05B5" w:rsidRDefault="00D10794" w:rsidP="00D10794">
      <w:pPr>
        <w:spacing w:after="0"/>
        <w:rPr>
          <w:bCs/>
        </w:rPr>
      </w:pPr>
    </w:p>
    <w:p w14:paraId="7CB4E5E6" w14:textId="549A3229" w:rsidR="00D10794" w:rsidRDefault="00D10794" w:rsidP="00D10794">
      <w:pPr>
        <w:spacing w:after="0"/>
        <w:rPr>
          <w:bCs/>
        </w:rPr>
      </w:pPr>
      <w:r w:rsidRPr="00EB05B5">
        <w:rPr>
          <w:bCs/>
        </w:rPr>
        <w:t>Skelmersdale Rail Link</w:t>
      </w:r>
      <w:r w:rsidR="00627592">
        <w:rPr>
          <w:bCs/>
        </w:rPr>
        <w:t xml:space="preserve"> </w:t>
      </w:r>
      <w:r w:rsidRPr="00EB05B5">
        <w:rPr>
          <w:bCs/>
        </w:rPr>
        <w:t xml:space="preserve">- this scheme is </w:t>
      </w:r>
      <w:r w:rsidR="00627592">
        <w:rPr>
          <w:bCs/>
        </w:rPr>
        <w:t xml:space="preserve">primarily </w:t>
      </w:r>
      <w:r w:rsidRPr="00EB05B5">
        <w:rPr>
          <w:bCs/>
        </w:rPr>
        <w:t xml:space="preserve">to assess the technical feasibility of constructing a rail link between the Wigan to Kirkby line and Skelmersdale. Initial studies have been completed and Network Rail have completed higher level design, </w:t>
      </w:r>
      <w:proofErr w:type="gramStart"/>
      <w:r w:rsidRPr="00EB05B5">
        <w:rPr>
          <w:bCs/>
        </w:rPr>
        <w:t>costing</w:t>
      </w:r>
      <w:proofErr w:type="gramEnd"/>
      <w:r w:rsidRPr="00EB05B5">
        <w:rPr>
          <w:bCs/>
        </w:rPr>
        <w:t xml:space="preserve"> and impact assessments.  The final costs of these investigations have been completed causing additional delivery of £0.866m from previous slippage.  The work on the demolition of the Newcastle Colleges Group buildings is now due to finish in June 2021 causing a 2020/21 slippage variance of -£1.380m</w:t>
      </w:r>
      <w:r>
        <w:rPr>
          <w:bCs/>
        </w:rPr>
        <w:t>.</w:t>
      </w:r>
    </w:p>
    <w:p w14:paraId="42E4B006" w14:textId="77777777" w:rsidR="00D10794" w:rsidRDefault="00D10794" w:rsidP="00D10794">
      <w:pPr>
        <w:spacing w:after="0"/>
        <w:rPr>
          <w:bCs/>
        </w:rPr>
      </w:pPr>
    </w:p>
    <w:p w14:paraId="5A41BF9A" w14:textId="77777777" w:rsidR="00D10794" w:rsidRDefault="00D10794" w:rsidP="00D10794">
      <w:pPr>
        <w:spacing w:after="0"/>
        <w:rPr>
          <w:bCs/>
        </w:rPr>
      </w:pPr>
      <w:r w:rsidRPr="00EB05B5">
        <w:rPr>
          <w:bCs/>
        </w:rPr>
        <w:t xml:space="preserve">East </w:t>
      </w:r>
      <w:proofErr w:type="spellStart"/>
      <w:r w:rsidRPr="00EB05B5">
        <w:rPr>
          <w:bCs/>
        </w:rPr>
        <w:t>Lancs</w:t>
      </w:r>
      <w:proofErr w:type="spellEnd"/>
      <w:r w:rsidRPr="00EB05B5">
        <w:rPr>
          <w:bCs/>
        </w:rPr>
        <w:t xml:space="preserve"> Strategic Cycleway - The scheme was affected immediately by </w:t>
      </w:r>
      <w:proofErr w:type="spellStart"/>
      <w:r w:rsidRPr="00EB05B5">
        <w:rPr>
          <w:bCs/>
        </w:rPr>
        <w:t>Covid</w:t>
      </w:r>
      <w:proofErr w:type="spellEnd"/>
      <w:r w:rsidRPr="00EB05B5">
        <w:rPr>
          <w:bCs/>
        </w:rPr>
        <w:t xml:space="preserve"> as staff resources were redirected for the entirety of quarter 1.  Delays that affected larger sections of the programme have been overcome and work was undertaken on Hud Hey Road and Hill End Lane. By quarter 3 it had been agreed to lower the forecast and the eventual outturn of £0.602m means that exactly -£1.000m of delivery will slip into future years. </w:t>
      </w:r>
    </w:p>
    <w:p w14:paraId="27606697" w14:textId="77777777" w:rsidR="00D10794" w:rsidRPr="00EB05B5" w:rsidRDefault="00D10794" w:rsidP="00D10794">
      <w:pPr>
        <w:spacing w:after="0"/>
        <w:rPr>
          <w:bCs/>
        </w:rPr>
      </w:pPr>
    </w:p>
    <w:p w14:paraId="384C7B0F" w14:textId="77777777" w:rsidR="00D10794" w:rsidRDefault="00D10794" w:rsidP="00D10794">
      <w:pPr>
        <w:spacing w:after="0"/>
        <w:rPr>
          <w:bCs/>
        </w:rPr>
      </w:pPr>
      <w:r w:rsidRPr="00EB05B5">
        <w:rPr>
          <w:bCs/>
        </w:rPr>
        <w:t xml:space="preserve">Public Rights of Way - The outturn of £0.243m included works to expand footpaths in </w:t>
      </w:r>
      <w:proofErr w:type="spellStart"/>
      <w:r w:rsidRPr="00EB05B5">
        <w:rPr>
          <w:bCs/>
        </w:rPr>
        <w:t>Wisewell</w:t>
      </w:r>
      <w:proofErr w:type="spellEnd"/>
      <w:r w:rsidRPr="00EB05B5">
        <w:rPr>
          <w:bCs/>
        </w:rPr>
        <w:t xml:space="preserve"> and improve the bridleway through </w:t>
      </w:r>
      <w:proofErr w:type="spellStart"/>
      <w:r w:rsidRPr="00EB05B5">
        <w:rPr>
          <w:bCs/>
        </w:rPr>
        <w:t>Huncoat</w:t>
      </w:r>
      <w:proofErr w:type="spellEnd"/>
      <w:r w:rsidRPr="00EB05B5">
        <w:rPr>
          <w:bCs/>
        </w:rPr>
        <w:t xml:space="preserve"> Valley as well a new project to improve signage for public rights of way.  Projects at the Capitol Centre and FP31 Lancaster have run into problems with a landowner and Natural England over an S.S.S.I but are forecast to be resolved and completed in 2021/22 causing a net slipped variance of -£0.064m</w:t>
      </w:r>
      <w:r>
        <w:rPr>
          <w:bCs/>
        </w:rPr>
        <w:t>.</w:t>
      </w:r>
    </w:p>
    <w:p w14:paraId="6919BDDF" w14:textId="77777777" w:rsidR="00D10794" w:rsidRPr="00EB05B5" w:rsidRDefault="00D10794" w:rsidP="00D10794">
      <w:pPr>
        <w:spacing w:after="0"/>
        <w:rPr>
          <w:bCs/>
        </w:rPr>
      </w:pPr>
    </w:p>
    <w:p w14:paraId="1B960289" w14:textId="77777777" w:rsidR="00D10794" w:rsidRDefault="00D10794" w:rsidP="00D10794">
      <w:pPr>
        <w:spacing w:after="0"/>
        <w:rPr>
          <w:bCs/>
        </w:rPr>
      </w:pPr>
      <w:r w:rsidRPr="00EB05B5">
        <w:rPr>
          <w:bCs/>
        </w:rPr>
        <w:t xml:space="preserve">National Productivity Investment Fund (NPIF) - The six outstanding projects in the NPIF scheme were affected by the </w:t>
      </w:r>
      <w:proofErr w:type="spellStart"/>
      <w:r w:rsidRPr="00EB05B5">
        <w:rPr>
          <w:bCs/>
        </w:rPr>
        <w:t>Covid</w:t>
      </w:r>
      <w:proofErr w:type="spellEnd"/>
      <w:r w:rsidRPr="00EB05B5">
        <w:rPr>
          <w:bCs/>
        </w:rPr>
        <w:t xml:space="preserve"> lockdown and related supply delays resulting in slipped delivery of -£0.766m.</w:t>
      </w:r>
    </w:p>
    <w:p w14:paraId="64EBF22C" w14:textId="77777777" w:rsidR="00D10794" w:rsidRPr="00EB05B5" w:rsidRDefault="00D10794" w:rsidP="00D10794">
      <w:pPr>
        <w:spacing w:after="0"/>
        <w:rPr>
          <w:bCs/>
        </w:rPr>
      </w:pPr>
    </w:p>
    <w:p w14:paraId="4AB668DC" w14:textId="77777777" w:rsidR="00D10794" w:rsidRDefault="00D10794" w:rsidP="00D10794">
      <w:pPr>
        <w:spacing w:after="0"/>
        <w:rPr>
          <w:bCs/>
        </w:rPr>
      </w:pPr>
      <w:r w:rsidRPr="00EB05B5">
        <w:rPr>
          <w:bCs/>
        </w:rPr>
        <w:t xml:space="preserve">Cycling schemes - The Cycling schemes programme overall reports a slippage variance of -£0.718m into future years due to </w:t>
      </w:r>
      <w:proofErr w:type="spellStart"/>
      <w:r w:rsidRPr="00EB05B5">
        <w:rPr>
          <w:bCs/>
        </w:rPr>
        <w:t>Covid</w:t>
      </w:r>
      <w:proofErr w:type="spellEnd"/>
      <w:r w:rsidRPr="00EB05B5">
        <w:rPr>
          <w:bCs/>
        </w:rPr>
        <w:t xml:space="preserve"> related delays. These included the two larger projects at Golden Hill Way and </w:t>
      </w:r>
      <w:proofErr w:type="spellStart"/>
      <w:r w:rsidRPr="00EB05B5">
        <w:rPr>
          <w:bCs/>
        </w:rPr>
        <w:t>Ribbleton</w:t>
      </w:r>
      <w:proofErr w:type="spellEnd"/>
      <w:r w:rsidRPr="00EB05B5">
        <w:rPr>
          <w:bCs/>
        </w:rPr>
        <w:t xml:space="preserve"> Avenue Quiet Way bypass. Work was possible on the Walton-le-Dale Cycling Improvements project resulting in £0.100m of additional delivery. </w:t>
      </w:r>
    </w:p>
    <w:p w14:paraId="52E1A8D2" w14:textId="77777777" w:rsidR="00D10794" w:rsidRPr="00EB05B5" w:rsidRDefault="00D10794" w:rsidP="00D10794">
      <w:pPr>
        <w:spacing w:after="0"/>
        <w:rPr>
          <w:bCs/>
        </w:rPr>
      </w:pPr>
      <w:r w:rsidRPr="00EB05B5">
        <w:rPr>
          <w:bCs/>
        </w:rPr>
        <w:t xml:space="preserve"> </w:t>
      </w:r>
    </w:p>
    <w:p w14:paraId="36166585" w14:textId="77777777" w:rsidR="00D10794" w:rsidRDefault="00D10794" w:rsidP="00D10794">
      <w:pPr>
        <w:spacing w:after="0"/>
        <w:rPr>
          <w:bCs/>
        </w:rPr>
      </w:pPr>
      <w:r w:rsidRPr="00EB05B5">
        <w:rPr>
          <w:bCs/>
        </w:rPr>
        <w:t xml:space="preserve">Burnley Pendle Growth Corridor - Within the programme there was an underspend of -£0.224m and a slippage variance of -£0.605m. The slipped delivery is forecast to be fully utilised in 2021/22.  As forecasted, </w:t>
      </w:r>
      <w:proofErr w:type="gramStart"/>
      <w:r w:rsidRPr="00EB05B5">
        <w:rPr>
          <w:bCs/>
        </w:rPr>
        <w:t>the majority of</w:t>
      </w:r>
      <w:proofErr w:type="gramEnd"/>
      <w:r w:rsidRPr="00EB05B5">
        <w:rPr>
          <w:bCs/>
        </w:rPr>
        <w:t xml:space="preserve"> the expenditure was related to Rose Grove junction project. The Manchester Road Station car park is now forecast to be completed in quarter 2 of 2021/22. The agreements with partner Councils have been signed and invoices for appropriate funding have now been issued</w:t>
      </w:r>
      <w:r>
        <w:rPr>
          <w:bCs/>
        </w:rPr>
        <w:t>.</w:t>
      </w:r>
    </w:p>
    <w:p w14:paraId="14416201" w14:textId="77777777" w:rsidR="00D10794" w:rsidRPr="00EB05B5" w:rsidRDefault="00D10794" w:rsidP="00D10794">
      <w:pPr>
        <w:spacing w:after="0"/>
        <w:rPr>
          <w:bCs/>
        </w:rPr>
      </w:pPr>
    </w:p>
    <w:p w14:paraId="2B598D2B" w14:textId="77777777" w:rsidR="00D10794" w:rsidRDefault="00D10794" w:rsidP="00D10794">
      <w:pPr>
        <w:spacing w:after="0"/>
        <w:rPr>
          <w:bCs/>
        </w:rPr>
      </w:pPr>
      <w:r w:rsidRPr="00EB05B5">
        <w:rPr>
          <w:bCs/>
        </w:rPr>
        <w:t xml:space="preserve">Burnley Town Centre Improvements - Work on the Lower St James Street project has slipped into 2021/22 causing a slippage variance of -£0.240m. As work on Pioneer Place will only be undertaken on the completion of the Lower St James Street work, the full -£1.000m from the delivery plan has slipped into 2021/22. Both projects are expected to complete in 2021/22. </w:t>
      </w:r>
    </w:p>
    <w:p w14:paraId="25896511" w14:textId="77777777" w:rsidR="00D10794" w:rsidRPr="00EB05B5" w:rsidRDefault="00D10794" w:rsidP="00D10794">
      <w:pPr>
        <w:spacing w:after="0"/>
        <w:rPr>
          <w:bCs/>
        </w:rPr>
      </w:pPr>
    </w:p>
    <w:p w14:paraId="22F70ABB" w14:textId="77777777" w:rsidR="00D10794" w:rsidRDefault="00D10794" w:rsidP="00D10794">
      <w:pPr>
        <w:spacing w:after="0"/>
        <w:rPr>
          <w:bCs/>
        </w:rPr>
      </w:pPr>
      <w:r w:rsidRPr="00EB05B5">
        <w:rPr>
          <w:bCs/>
        </w:rPr>
        <w:t xml:space="preserve">Heysham - A delivery budget of £1.670m was originally set to cover mopping up work and settling Injurious affection disputes, this forecast had been revised to £1.000m in </w:t>
      </w:r>
      <w:r w:rsidRPr="00EB05B5">
        <w:rPr>
          <w:bCs/>
        </w:rPr>
        <w:lastRenderedPageBreak/>
        <w:t>quarter 3 due to the length of time tribunals are taking to agree. The final outturn was £0.910m, causing a slipped delivery variance of -£0.759m.</w:t>
      </w:r>
    </w:p>
    <w:p w14:paraId="7A635B55" w14:textId="77777777" w:rsidR="00D10794" w:rsidRPr="00EB05B5" w:rsidRDefault="00D10794" w:rsidP="00D10794">
      <w:pPr>
        <w:spacing w:after="0"/>
        <w:rPr>
          <w:bCs/>
        </w:rPr>
      </w:pPr>
    </w:p>
    <w:p w14:paraId="50B3BCF2" w14:textId="77777777" w:rsidR="00D10794" w:rsidRDefault="00D10794" w:rsidP="00D10794">
      <w:pPr>
        <w:spacing w:after="0"/>
        <w:rPr>
          <w:b/>
        </w:rPr>
      </w:pPr>
      <w:r w:rsidRPr="00C95DDE">
        <w:rPr>
          <w:b/>
        </w:rPr>
        <w:t xml:space="preserve">Externally Funded </w:t>
      </w:r>
    </w:p>
    <w:p w14:paraId="1A646D81" w14:textId="77777777" w:rsidR="00D10794" w:rsidRDefault="00D10794" w:rsidP="00D10794">
      <w:pPr>
        <w:spacing w:after="0"/>
        <w:rPr>
          <w:b/>
        </w:rPr>
      </w:pPr>
    </w:p>
    <w:p w14:paraId="19C99C52" w14:textId="77777777" w:rsidR="00D10794" w:rsidRPr="00F81907" w:rsidRDefault="00D10794" w:rsidP="00D10794">
      <w:pPr>
        <w:rPr>
          <w:rFonts w:cstheme="minorHAnsi"/>
          <w:b/>
        </w:rPr>
      </w:pPr>
      <w:r w:rsidRPr="00C1534B">
        <w:rPr>
          <w:rFonts w:cstheme="minorHAnsi"/>
          <w:b/>
        </w:rPr>
        <w:t xml:space="preserve">The </w:t>
      </w:r>
      <w:r>
        <w:rPr>
          <w:rFonts w:cstheme="minorHAnsi"/>
          <w:b/>
        </w:rPr>
        <w:t xml:space="preserve">Externally Funded </w:t>
      </w:r>
      <w:r w:rsidRPr="00C1534B">
        <w:rPr>
          <w:rFonts w:cstheme="minorHAnsi"/>
          <w:b/>
        </w:rPr>
        <w:t>capital programme</w:t>
      </w:r>
      <w:r>
        <w:rPr>
          <w:rFonts w:cstheme="minorHAnsi"/>
          <w:b/>
        </w:rPr>
        <w:t xml:space="preserve"> </w:t>
      </w:r>
      <w:r w:rsidRPr="00C1534B">
        <w:rPr>
          <w:rFonts w:cstheme="minorHAnsi"/>
          <w:b/>
        </w:rPr>
        <w:t>has a 2020/21 delivery plan of £</w:t>
      </w:r>
      <w:r>
        <w:rPr>
          <w:rFonts w:cstheme="minorHAnsi"/>
          <w:b/>
        </w:rPr>
        <w:t>9.995</w:t>
      </w:r>
      <w:r w:rsidRPr="00C1534B">
        <w:rPr>
          <w:rFonts w:cstheme="minorHAnsi"/>
          <w:b/>
        </w:rPr>
        <w:t xml:space="preserve">m. </w:t>
      </w:r>
      <w:r w:rsidRPr="00F81907">
        <w:rPr>
          <w:rFonts w:cstheme="minorHAnsi"/>
          <w:b/>
        </w:rPr>
        <w:t xml:space="preserve">The delivery plan has 24 schemes that were worked on this year. The final outturn position is £6.739m, a variance of -£3.256m.  </w:t>
      </w:r>
    </w:p>
    <w:p w14:paraId="667EC0F1" w14:textId="77777777" w:rsidR="00D10794" w:rsidRDefault="00D10794" w:rsidP="00D10794">
      <w:r w:rsidRPr="00F81907">
        <w:t>Details of the main variances are as follows</w:t>
      </w:r>
      <w:r>
        <w:t>:</w:t>
      </w:r>
    </w:p>
    <w:p w14:paraId="27BCBE83" w14:textId="77777777" w:rsidR="00D10794" w:rsidRDefault="00D10794" w:rsidP="00D10794">
      <w:pPr>
        <w:spacing w:after="0"/>
      </w:pPr>
      <w:r w:rsidRPr="000C2C6C">
        <w:t xml:space="preserve">S278 </w:t>
      </w:r>
      <w:proofErr w:type="spellStart"/>
      <w:r w:rsidRPr="000C2C6C">
        <w:t>UCLan</w:t>
      </w:r>
      <w:proofErr w:type="spellEnd"/>
      <w:r w:rsidRPr="000C2C6C">
        <w:t xml:space="preserve"> Masterplan has slipped delivery of -£0.619m. Works on this project are tied in with the </w:t>
      </w:r>
      <w:proofErr w:type="spellStart"/>
      <w:r w:rsidRPr="000C2C6C">
        <w:t>UCLan</w:t>
      </w:r>
      <w:proofErr w:type="spellEnd"/>
      <w:r w:rsidRPr="000C2C6C">
        <w:t xml:space="preserve"> Student Centre scheme, which has critical activities to complete before LCC can progress with highway works.  As some of these critical Student Centre activities have been delayed, most notably due to </w:t>
      </w:r>
      <w:proofErr w:type="spellStart"/>
      <w:r w:rsidRPr="000C2C6C">
        <w:t>C</w:t>
      </w:r>
      <w:r>
        <w:t>ovid</w:t>
      </w:r>
      <w:proofErr w:type="spellEnd"/>
      <w:r w:rsidRPr="000C2C6C">
        <w:t>, there has been a knock-on effect for the highway works delivery.</w:t>
      </w:r>
    </w:p>
    <w:p w14:paraId="0EE55CB8" w14:textId="77777777" w:rsidR="00D10794" w:rsidRPr="000C2C6C" w:rsidRDefault="00D10794" w:rsidP="00D10794">
      <w:pPr>
        <w:spacing w:after="0"/>
      </w:pPr>
    </w:p>
    <w:p w14:paraId="1022AA01" w14:textId="77777777" w:rsidR="00D10794" w:rsidRDefault="00D10794" w:rsidP="00D10794">
      <w:pPr>
        <w:spacing w:after="0"/>
      </w:pPr>
      <w:r w:rsidRPr="00AA5E5E">
        <w:t xml:space="preserve">S278 A584 Lytham Rd/Church Rd Highway Works has slippage of -£0.928m. Some funding has been returned to the developer so further funding will require approval. There is budget on this project in 2021/22, where </w:t>
      </w:r>
      <w:r>
        <w:t xml:space="preserve">the </w:t>
      </w:r>
      <w:r w:rsidRPr="00AA5E5E">
        <w:t>project will continue.</w:t>
      </w:r>
    </w:p>
    <w:p w14:paraId="1CE0B3D2" w14:textId="77777777" w:rsidR="00D10794" w:rsidRDefault="00D10794" w:rsidP="00D10794">
      <w:pPr>
        <w:spacing w:after="0"/>
      </w:pPr>
    </w:p>
    <w:p w14:paraId="735F2F64" w14:textId="77777777" w:rsidR="00D10794" w:rsidRDefault="00D10794" w:rsidP="00D10794">
      <w:pPr>
        <w:spacing w:after="0"/>
      </w:pPr>
      <w:r w:rsidRPr="00F81907">
        <w:t xml:space="preserve">S278 </w:t>
      </w:r>
      <w:proofErr w:type="spellStart"/>
      <w:r w:rsidRPr="00F81907">
        <w:t>Padiham</w:t>
      </w:r>
      <w:proofErr w:type="spellEnd"/>
      <w:r w:rsidRPr="00F81907">
        <w:t xml:space="preserve"> THI has slippage of -£0.798m due to low temperatures</w:t>
      </w:r>
      <w:r>
        <w:t xml:space="preserve"> and snow causing</w:t>
      </w:r>
      <w:r w:rsidRPr="000C2C6C">
        <w:t xml:space="preserve"> delays. The resurfacing works require a full road closure however following consultation with </w:t>
      </w:r>
      <w:proofErr w:type="gramStart"/>
      <w:r>
        <w:t>b</w:t>
      </w:r>
      <w:r w:rsidRPr="000C2C6C">
        <w:t xml:space="preserve">us </w:t>
      </w:r>
      <w:r>
        <w:t xml:space="preserve"> s</w:t>
      </w:r>
      <w:r w:rsidRPr="000C2C6C">
        <w:t>ervices</w:t>
      </w:r>
      <w:proofErr w:type="gramEnd"/>
      <w:r w:rsidRPr="000C2C6C">
        <w:t>, this work must be scheduled for the school summer holidays to reduce impact on the services in the area.</w:t>
      </w:r>
    </w:p>
    <w:p w14:paraId="25AA00B2" w14:textId="77777777" w:rsidR="00D10794" w:rsidRPr="000C2C6C" w:rsidRDefault="00D10794" w:rsidP="00D10794">
      <w:pPr>
        <w:spacing w:after="0"/>
      </w:pPr>
    </w:p>
    <w:p w14:paraId="05E97FC3" w14:textId="77777777" w:rsidR="00D10794" w:rsidRPr="000C2C6C" w:rsidRDefault="00D10794" w:rsidP="00D10794">
      <w:pPr>
        <w:spacing w:after="0"/>
      </w:pPr>
      <w:proofErr w:type="spellStart"/>
      <w:r w:rsidRPr="000C2C6C">
        <w:t>Eastway</w:t>
      </w:r>
      <w:proofErr w:type="spellEnd"/>
      <w:r w:rsidRPr="000C2C6C">
        <w:t xml:space="preserve"> Phase 2 S278 Works has slippage of -£0.098m following an unsatisfactory correction of a defect, meaning funds to the developer were not released.</w:t>
      </w:r>
      <w:r>
        <w:t>, as anticipated in quarter 3.</w:t>
      </w:r>
      <w:r w:rsidRPr="000C2C6C">
        <w:t xml:space="preserve"> The contractor has since rectified this however checks still need to be made, which if still incorrect would delay completion by at least 2-3 months.</w:t>
      </w:r>
    </w:p>
    <w:p w14:paraId="69D7202C" w14:textId="77777777" w:rsidR="00D10794" w:rsidRDefault="00D10794" w:rsidP="00D10794">
      <w:pPr>
        <w:spacing w:after="0"/>
      </w:pPr>
      <w:r w:rsidRPr="000C2C6C">
        <w:t xml:space="preserve">There is slippage on Whalley King Street </w:t>
      </w:r>
      <w:r>
        <w:t>z</w:t>
      </w:r>
      <w:r w:rsidRPr="000C2C6C">
        <w:t xml:space="preserve">ebra </w:t>
      </w:r>
      <w:r>
        <w:t>c</w:t>
      </w:r>
      <w:r w:rsidRPr="000C2C6C">
        <w:t xml:space="preserve">rossing and </w:t>
      </w:r>
      <w:r>
        <w:t>f</w:t>
      </w:r>
      <w:r w:rsidRPr="000C2C6C">
        <w:t xml:space="preserve">ootways (-£0.118m) and Whalley </w:t>
      </w:r>
      <w:r>
        <w:t>t</w:t>
      </w:r>
      <w:r w:rsidRPr="000C2C6C">
        <w:t xml:space="preserve">own </w:t>
      </w:r>
      <w:r>
        <w:t>c</w:t>
      </w:r>
      <w:r w:rsidRPr="000C2C6C">
        <w:t xml:space="preserve">entre </w:t>
      </w:r>
      <w:r>
        <w:t>f</w:t>
      </w:r>
      <w:r w:rsidRPr="000C2C6C">
        <w:t xml:space="preserve">ootway and </w:t>
      </w:r>
      <w:r>
        <w:t>b</w:t>
      </w:r>
      <w:r w:rsidRPr="000C2C6C">
        <w:t xml:space="preserve">us </w:t>
      </w:r>
      <w:r>
        <w:t>s</w:t>
      </w:r>
      <w:r w:rsidRPr="000C2C6C">
        <w:t xml:space="preserve">top </w:t>
      </w:r>
      <w:r>
        <w:t>i</w:t>
      </w:r>
      <w:r w:rsidRPr="000C2C6C">
        <w:t>mprovement (-£0.104m)</w:t>
      </w:r>
      <w:r>
        <w:t xml:space="preserve">. </w:t>
      </w:r>
      <w:r w:rsidRPr="000C2C6C">
        <w:t xml:space="preserve">These projects are due to be amalgamated </w:t>
      </w:r>
      <w:r>
        <w:t xml:space="preserve">and delivered </w:t>
      </w:r>
      <w:r w:rsidRPr="000C2C6C">
        <w:t>in 2021/22</w:t>
      </w:r>
      <w:r>
        <w:t>.</w:t>
      </w:r>
      <w:r w:rsidRPr="000C2C6C">
        <w:t xml:space="preserve"> </w:t>
      </w:r>
    </w:p>
    <w:p w14:paraId="7CFA2AFF" w14:textId="77777777" w:rsidR="00D10794" w:rsidRPr="000C2C6C" w:rsidRDefault="00D10794" w:rsidP="00D10794">
      <w:pPr>
        <w:spacing w:after="0"/>
      </w:pPr>
    </w:p>
    <w:p w14:paraId="245071DF" w14:textId="77777777" w:rsidR="00D10794" w:rsidRPr="000C2C6C" w:rsidRDefault="00D10794" w:rsidP="00D10794">
      <w:pPr>
        <w:spacing w:after="0"/>
      </w:pPr>
      <w:r w:rsidRPr="002F43EA">
        <w:t xml:space="preserve">Further slippage across </w:t>
      </w:r>
      <w:proofErr w:type="gramStart"/>
      <w:r w:rsidRPr="002F43EA">
        <w:t>a number of</w:t>
      </w:r>
      <w:proofErr w:type="gramEnd"/>
      <w:r w:rsidRPr="002F43EA">
        <w:t xml:space="preserve"> projects of -£0.211m are mainly due to </w:t>
      </w:r>
      <w:proofErr w:type="spellStart"/>
      <w:r w:rsidRPr="002F43EA">
        <w:t>Covid</w:t>
      </w:r>
      <w:proofErr w:type="spellEnd"/>
      <w:r w:rsidRPr="002F43EA">
        <w:t xml:space="preserve"> related</w:t>
      </w:r>
      <w:r>
        <w:t xml:space="preserve"> delays</w:t>
      </w:r>
      <w:r w:rsidRPr="000C2C6C">
        <w:t xml:space="preserve">, </w:t>
      </w:r>
      <w:r w:rsidRPr="002F43EA">
        <w:t>as well as projects agreed late in 2020/21 now slipping into 2021/22.</w:t>
      </w:r>
    </w:p>
    <w:p w14:paraId="3D2D4DF4" w14:textId="77777777" w:rsidR="00D10794" w:rsidRDefault="00D10794" w:rsidP="00D10794">
      <w:pPr>
        <w:spacing w:after="0"/>
      </w:pPr>
      <w:r w:rsidRPr="000C2C6C">
        <w:t xml:space="preserve">There is an underspend on the </w:t>
      </w:r>
      <w:proofErr w:type="spellStart"/>
      <w:r w:rsidRPr="000C2C6C">
        <w:t>Heyhouses</w:t>
      </w:r>
      <w:proofErr w:type="spellEnd"/>
      <w:r w:rsidRPr="000C2C6C">
        <w:t xml:space="preserve"> scheme of -£0.287m as the works involved in the scheme have now changed, and the project has moved across to the Transport block.</w:t>
      </w:r>
    </w:p>
    <w:p w14:paraId="0E147098" w14:textId="77777777" w:rsidR="00D10794" w:rsidRPr="000C2C6C" w:rsidRDefault="00D10794" w:rsidP="00D10794">
      <w:pPr>
        <w:spacing w:after="0"/>
      </w:pPr>
    </w:p>
    <w:p w14:paraId="413040B9" w14:textId="77777777" w:rsidR="00D10794" w:rsidRDefault="00D10794" w:rsidP="00D10794">
      <w:pPr>
        <w:spacing w:after="0"/>
        <w:rPr>
          <w:highlight w:val="yellow"/>
        </w:rPr>
      </w:pPr>
      <w:r w:rsidRPr="000C2C6C">
        <w:t>Offsetting this is additional delivery totalling £0.022m and a potential overspend of £0.014m. Further funding is being sought to finance the potential overspend on the FP2 Kirkham scheme</w:t>
      </w:r>
      <w:r w:rsidRPr="006675E9">
        <w:t>.</w:t>
      </w:r>
      <w:r w:rsidRPr="000C2C6C">
        <w:rPr>
          <w:highlight w:val="yellow"/>
        </w:rPr>
        <w:t xml:space="preserve"> </w:t>
      </w:r>
    </w:p>
    <w:p w14:paraId="7CAAE5FF" w14:textId="77777777" w:rsidR="00A87DE9" w:rsidRDefault="00A87DE9" w:rsidP="00D10794">
      <w:pPr>
        <w:spacing w:after="0"/>
        <w:rPr>
          <w:highlight w:val="yellow"/>
        </w:rPr>
      </w:pPr>
    </w:p>
    <w:p w14:paraId="0DD7187D" w14:textId="77777777" w:rsidR="00D10794" w:rsidRDefault="00D10794" w:rsidP="00D10794">
      <w:pPr>
        <w:spacing w:after="0"/>
        <w:rPr>
          <w:rFonts w:cstheme="minorHAnsi"/>
          <w:b/>
          <w:color w:val="000000" w:themeColor="text1"/>
        </w:rPr>
      </w:pPr>
      <w:r w:rsidRPr="0063544D">
        <w:rPr>
          <w:rFonts w:cstheme="minorHAnsi"/>
          <w:b/>
          <w:color w:val="000000" w:themeColor="text1"/>
        </w:rPr>
        <w:t>Waste and Others</w:t>
      </w:r>
    </w:p>
    <w:p w14:paraId="0FD33CC5" w14:textId="77777777" w:rsidR="00D10794" w:rsidRPr="0063544D" w:rsidRDefault="00D10794" w:rsidP="00D10794">
      <w:pPr>
        <w:spacing w:after="0"/>
        <w:rPr>
          <w:rFonts w:cstheme="minorHAnsi"/>
          <w:b/>
          <w:color w:val="000000" w:themeColor="text1"/>
        </w:rPr>
      </w:pPr>
    </w:p>
    <w:p w14:paraId="35CEFE60" w14:textId="3A8342A9" w:rsidR="00D10794" w:rsidRDefault="00D10794" w:rsidP="00D10794">
      <w:pPr>
        <w:spacing w:after="0"/>
        <w:rPr>
          <w:rFonts w:cstheme="minorHAnsi"/>
        </w:rPr>
      </w:pPr>
      <w:r w:rsidRPr="0063544D">
        <w:rPr>
          <w:rFonts w:cstheme="minorHAnsi"/>
        </w:rPr>
        <w:t xml:space="preserve">Due to the minimal number of projects within the block it </w:t>
      </w:r>
      <w:r>
        <w:rPr>
          <w:rFonts w:cstheme="minorHAnsi"/>
        </w:rPr>
        <w:t>was agreed in year that</w:t>
      </w:r>
      <w:r w:rsidRPr="0063544D">
        <w:rPr>
          <w:rFonts w:cstheme="minorHAnsi"/>
        </w:rPr>
        <w:t xml:space="preserve"> the block </w:t>
      </w:r>
      <w:r w:rsidR="00BE39AF">
        <w:rPr>
          <w:rFonts w:cstheme="minorHAnsi"/>
        </w:rPr>
        <w:t>was</w:t>
      </w:r>
      <w:r w:rsidRPr="0063544D">
        <w:rPr>
          <w:rFonts w:cstheme="minorHAnsi"/>
        </w:rPr>
        <w:t xml:space="preserve"> </w:t>
      </w:r>
      <w:proofErr w:type="gramStart"/>
      <w:r w:rsidRPr="0063544D">
        <w:rPr>
          <w:rFonts w:cstheme="minorHAnsi"/>
        </w:rPr>
        <w:t>disbanded</w:t>
      </w:r>
      <w:proofErr w:type="gramEnd"/>
      <w:r w:rsidRPr="0063544D">
        <w:rPr>
          <w:rFonts w:cstheme="minorHAnsi"/>
        </w:rPr>
        <w:t xml:space="preserve"> and the ongoing projects reported in other blocks within the Capital programme.</w:t>
      </w:r>
    </w:p>
    <w:p w14:paraId="6101742D" w14:textId="43466FC8" w:rsidR="00D10794" w:rsidRDefault="00D10794" w:rsidP="00D10794">
      <w:pPr>
        <w:spacing w:after="0"/>
        <w:rPr>
          <w:rFonts w:cstheme="minorHAnsi"/>
        </w:rPr>
      </w:pPr>
    </w:p>
    <w:p w14:paraId="003B2726" w14:textId="785987F6" w:rsidR="00A87DE9" w:rsidRDefault="00A87DE9" w:rsidP="00D10794">
      <w:pPr>
        <w:spacing w:after="0"/>
        <w:rPr>
          <w:rFonts w:cstheme="minorHAnsi"/>
        </w:rPr>
      </w:pPr>
    </w:p>
    <w:p w14:paraId="1DC1DA30" w14:textId="30DC2201" w:rsidR="00A87DE9" w:rsidRDefault="00A87DE9" w:rsidP="00D10794">
      <w:pPr>
        <w:spacing w:after="0"/>
        <w:rPr>
          <w:rFonts w:cstheme="minorHAnsi"/>
        </w:rPr>
      </w:pPr>
    </w:p>
    <w:p w14:paraId="08114D8B" w14:textId="1AD8846C" w:rsidR="00A87DE9" w:rsidRDefault="00A87DE9" w:rsidP="00D10794">
      <w:pPr>
        <w:spacing w:after="0"/>
        <w:rPr>
          <w:rFonts w:cstheme="minorHAnsi"/>
        </w:rPr>
      </w:pPr>
    </w:p>
    <w:p w14:paraId="7F5CDC2D" w14:textId="77777777" w:rsidR="00A87DE9" w:rsidRPr="0063544D" w:rsidRDefault="00A87DE9" w:rsidP="00D10794">
      <w:pPr>
        <w:spacing w:after="0"/>
        <w:rPr>
          <w:rFonts w:cstheme="minorHAnsi"/>
        </w:rPr>
      </w:pPr>
    </w:p>
    <w:p w14:paraId="0FD2D13F" w14:textId="77777777" w:rsidR="00D10794" w:rsidRDefault="00D10794" w:rsidP="00D10794">
      <w:pPr>
        <w:spacing w:after="0"/>
        <w:rPr>
          <w:b/>
        </w:rPr>
      </w:pPr>
      <w:r w:rsidRPr="00765F2E">
        <w:rPr>
          <w:b/>
        </w:rPr>
        <w:lastRenderedPageBreak/>
        <w:t>Adults Social Care (Adults)</w:t>
      </w:r>
    </w:p>
    <w:p w14:paraId="25B20AC5" w14:textId="77777777" w:rsidR="00D10794" w:rsidRPr="00765F2E" w:rsidRDefault="00D10794" w:rsidP="00D10794">
      <w:pPr>
        <w:spacing w:after="0"/>
        <w:rPr>
          <w:b/>
        </w:rPr>
      </w:pPr>
    </w:p>
    <w:p w14:paraId="3A53F9D7" w14:textId="77777777" w:rsidR="00D10794" w:rsidRDefault="00D10794" w:rsidP="00D10794">
      <w:pPr>
        <w:spacing w:after="0"/>
        <w:rPr>
          <w:rFonts w:cstheme="minorHAnsi"/>
          <w:b/>
        </w:rPr>
      </w:pPr>
      <w:r w:rsidRPr="00765F2E">
        <w:rPr>
          <w:rFonts w:cstheme="minorHAnsi"/>
          <w:b/>
        </w:rPr>
        <w:t xml:space="preserve">The Adults capital programme has a 2020/21 delivery plan of £18.972m. The delivery plan has 8 schemes that were worked on this year. The final outturn position is £18.146m, a variance of -£0.826m.  </w:t>
      </w:r>
    </w:p>
    <w:p w14:paraId="2C31FFBE" w14:textId="121BB1DE" w:rsidR="00BE39AF" w:rsidRDefault="00D10794" w:rsidP="00A87DE9">
      <w:pPr>
        <w:spacing w:after="0"/>
        <w:rPr>
          <w:rFonts w:cs="Arial"/>
          <w:bCs/>
          <w:bdr w:val="none" w:sz="0" w:space="0" w:color="auto" w:frame="1"/>
        </w:rPr>
      </w:pPr>
      <w:r w:rsidRPr="00765F2E">
        <w:rPr>
          <w:rFonts w:cs="Arial"/>
          <w:bCs/>
          <w:bdr w:val="none" w:sz="0" w:space="0" w:color="auto" w:frame="1"/>
        </w:rPr>
        <w:t>The initial Disabled Facilities Grant funding of £14.731m was fully passported to district councils by August.  This financial year a further top up award of £1.983m was approved by the MHCLG and passported in the same manner in January creating a large variance to the quarter 3 forecast.</w:t>
      </w:r>
    </w:p>
    <w:p w14:paraId="4B835BD4" w14:textId="77777777" w:rsidR="00A87DE9" w:rsidRPr="00765F2E" w:rsidRDefault="00A87DE9" w:rsidP="00A87DE9">
      <w:pPr>
        <w:spacing w:after="0"/>
        <w:rPr>
          <w:rFonts w:cs="Arial"/>
          <w:bCs/>
          <w:bdr w:val="none" w:sz="0" w:space="0" w:color="auto" w:frame="1"/>
        </w:rPr>
      </w:pPr>
    </w:p>
    <w:p w14:paraId="5686DE27" w14:textId="58A11939" w:rsidR="00D10794" w:rsidRDefault="00D10794" w:rsidP="00A87DE9">
      <w:pPr>
        <w:spacing w:after="0"/>
        <w:rPr>
          <w:rFonts w:cs="Arial"/>
          <w:bCs/>
          <w:bdr w:val="none" w:sz="0" w:space="0" w:color="auto" w:frame="1"/>
        </w:rPr>
      </w:pPr>
      <w:r w:rsidRPr="00765F2E">
        <w:rPr>
          <w:rFonts w:cs="Arial"/>
          <w:bCs/>
          <w:bdr w:val="none" w:sz="0" w:space="0" w:color="auto" w:frame="1"/>
        </w:rPr>
        <w:t xml:space="preserve">The Extra Care grant was separated out into 3 projects covering Preston, </w:t>
      </w:r>
      <w:proofErr w:type="gramStart"/>
      <w:r w:rsidRPr="00765F2E">
        <w:rPr>
          <w:rFonts w:cs="Arial"/>
          <w:bCs/>
          <w:bdr w:val="none" w:sz="0" w:space="0" w:color="auto" w:frame="1"/>
        </w:rPr>
        <w:t>Chorley</w:t>
      </w:r>
      <w:proofErr w:type="gramEnd"/>
      <w:r w:rsidRPr="00765F2E">
        <w:rPr>
          <w:rFonts w:cs="Arial"/>
          <w:bCs/>
          <w:bdr w:val="none" w:sz="0" w:space="0" w:color="auto" w:frame="1"/>
        </w:rPr>
        <w:t xml:space="preserve"> and Fleetwood.  It was forecast that the Preston project would be completed in 2020/21 and previously a forecast of £0.540m had been entered. Delays in the legal agreement have pushed back completion with this spend now forecast to slip into 2021/22 causing a slipped delivery variance of -£0.5</w:t>
      </w:r>
      <w:r w:rsidR="00BE39AF">
        <w:rPr>
          <w:rFonts w:cs="Arial"/>
          <w:bCs/>
          <w:bdr w:val="none" w:sz="0" w:space="0" w:color="auto" w:frame="1"/>
        </w:rPr>
        <w:t>4</w:t>
      </w:r>
      <w:r w:rsidRPr="00765F2E">
        <w:rPr>
          <w:rFonts w:cs="Arial"/>
          <w:bCs/>
          <w:bdr w:val="none" w:sz="0" w:space="0" w:color="auto" w:frame="1"/>
        </w:rPr>
        <w:t>0m.</w:t>
      </w:r>
      <w:r w:rsidRPr="00765F2E">
        <w:rPr>
          <w:rFonts w:cs="Arial"/>
          <w:bCs/>
          <w:bdr w:val="none" w:sz="0" w:space="0" w:color="auto" w:frame="1"/>
        </w:rPr>
        <w:tab/>
      </w:r>
    </w:p>
    <w:p w14:paraId="0F055457" w14:textId="77777777" w:rsidR="00D10794" w:rsidRPr="00765F2E" w:rsidRDefault="00D10794" w:rsidP="00D10794">
      <w:pPr>
        <w:spacing w:after="0"/>
        <w:rPr>
          <w:rFonts w:cs="Arial"/>
          <w:bCs/>
          <w:bdr w:val="none" w:sz="0" w:space="0" w:color="auto" w:frame="1"/>
        </w:rPr>
      </w:pPr>
    </w:p>
    <w:p w14:paraId="5A813CBC" w14:textId="4AA84D6E" w:rsidR="00D10794" w:rsidRDefault="00D10794" w:rsidP="00D10794">
      <w:pPr>
        <w:spacing w:after="0"/>
        <w:rPr>
          <w:rFonts w:cs="Arial"/>
          <w:bCs/>
          <w:bdr w:val="none" w:sz="0" w:space="0" w:color="auto" w:frame="1"/>
        </w:rPr>
      </w:pPr>
      <w:r w:rsidRPr="00765F2E">
        <w:rPr>
          <w:rFonts w:cs="Arial"/>
          <w:bCs/>
          <w:bdr w:val="none" w:sz="0" w:space="0" w:color="auto" w:frame="1"/>
        </w:rPr>
        <w:t>The Libraries ICT project previously forecast that the entire remainder of this budget will be used in 2020/21 but some access and supply delays have resulted in -£0.156m slipping into 2021/22. The on-going Liquid Logic improvements for Lancashire Person Record Exchange Service has a reported slippage figure of -£0.019m. The work done to date by BTLS has been billed for leaving the remaining work scheduled for 2021/22.</w:t>
      </w:r>
    </w:p>
    <w:p w14:paraId="2B03DBCE" w14:textId="77777777" w:rsidR="00D10794" w:rsidRPr="00765F2E" w:rsidRDefault="00D10794" w:rsidP="00D10794">
      <w:pPr>
        <w:spacing w:after="0"/>
        <w:rPr>
          <w:rFonts w:cs="Arial"/>
          <w:bCs/>
          <w:bdr w:val="none" w:sz="0" w:space="0" w:color="auto" w:frame="1"/>
        </w:rPr>
      </w:pPr>
    </w:p>
    <w:p w14:paraId="4E1429B4" w14:textId="77777777" w:rsidR="00D10794" w:rsidRDefault="00D10794" w:rsidP="00D10794">
      <w:pPr>
        <w:spacing w:after="0"/>
        <w:rPr>
          <w:rFonts w:cs="Arial"/>
          <w:bCs/>
          <w:bdr w:val="none" w:sz="0" w:space="0" w:color="auto" w:frame="1"/>
        </w:rPr>
      </w:pPr>
      <w:r w:rsidRPr="00765F2E">
        <w:rPr>
          <w:rFonts w:cs="Arial"/>
          <w:bCs/>
          <w:bdr w:val="none" w:sz="0" w:space="0" w:color="auto" w:frame="1"/>
        </w:rPr>
        <w:t>The project to improve the capacity of the</w:t>
      </w:r>
      <w:r w:rsidRPr="00765F2E">
        <w:t xml:space="preserve"> </w:t>
      </w:r>
      <w:r w:rsidRPr="00765F2E">
        <w:rPr>
          <w:rFonts w:cs="Arial"/>
          <w:bCs/>
          <w:bdr w:val="none" w:sz="0" w:space="0" w:color="auto" w:frame="1"/>
        </w:rPr>
        <w:t xml:space="preserve">Burnley </w:t>
      </w:r>
      <w:proofErr w:type="gramStart"/>
      <w:r w:rsidRPr="00765F2E">
        <w:rPr>
          <w:rFonts w:cs="Arial"/>
          <w:bCs/>
          <w:bdr w:val="none" w:sz="0" w:space="0" w:color="auto" w:frame="1"/>
        </w:rPr>
        <w:t>adults</w:t>
      </w:r>
      <w:proofErr w:type="gramEnd"/>
      <w:r w:rsidRPr="00765F2E">
        <w:rPr>
          <w:rFonts w:cs="Arial"/>
          <w:bCs/>
          <w:bdr w:val="none" w:sz="0" w:space="0" w:color="auto" w:frame="1"/>
        </w:rPr>
        <w:t xml:space="preserve"> short breaks unit to meet the increasing demand for the service has report slippage of -£0.174m due to </w:t>
      </w:r>
      <w:proofErr w:type="spellStart"/>
      <w:r w:rsidRPr="00765F2E">
        <w:rPr>
          <w:rFonts w:cs="Arial"/>
          <w:bCs/>
          <w:bdr w:val="none" w:sz="0" w:space="0" w:color="auto" w:frame="1"/>
        </w:rPr>
        <w:t>Covid</w:t>
      </w:r>
      <w:proofErr w:type="spellEnd"/>
      <w:r w:rsidRPr="00765F2E">
        <w:rPr>
          <w:rFonts w:cs="Arial"/>
          <w:bCs/>
          <w:bdr w:val="none" w:sz="0" w:space="0" w:color="auto" w:frame="1"/>
        </w:rPr>
        <w:t xml:space="preserve"> related issues delaying the commencement of the building work. This has now begun and is forecast to be completed in 2021/22.</w:t>
      </w:r>
    </w:p>
    <w:p w14:paraId="7690BD3F" w14:textId="77777777" w:rsidR="00D10794" w:rsidRPr="00911E46" w:rsidRDefault="00D10794" w:rsidP="00D10794">
      <w:pPr>
        <w:spacing w:after="0"/>
        <w:rPr>
          <w:rFonts w:cs="Arial"/>
          <w:bCs/>
          <w:bdr w:val="none" w:sz="0" w:space="0" w:color="auto" w:frame="1"/>
        </w:rPr>
      </w:pPr>
    </w:p>
    <w:p w14:paraId="29B91871" w14:textId="77777777" w:rsidR="00D10794" w:rsidRDefault="00D10794" w:rsidP="00D10794">
      <w:pPr>
        <w:spacing w:after="0"/>
        <w:rPr>
          <w:b/>
        </w:rPr>
      </w:pPr>
      <w:r>
        <w:rPr>
          <w:b/>
        </w:rPr>
        <w:t>Corporate</w:t>
      </w:r>
    </w:p>
    <w:p w14:paraId="3CEB78F3" w14:textId="77777777" w:rsidR="00D10794" w:rsidRPr="00765F2E" w:rsidRDefault="00D10794" w:rsidP="00D10794">
      <w:pPr>
        <w:spacing w:after="0"/>
        <w:rPr>
          <w:b/>
        </w:rPr>
      </w:pPr>
    </w:p>
    <w:p w14:paraId="308BCA36" w14:textId="77777777" w:rsidR="00D10794" w:rsidRDefault="00D10794" w:rsidP="00D10794">
      <w:pPr>
        <w:spacing w:after="0"/>
        <w:rPr>
          <w:rFonts w:cstheme="minorHAnsi"/>
          <w:b/>
        </w:rPr>
      </w:pPr>
      <w:r w:rsidRPr="00765F2E">
        <w:rPr>
          <w:rFonts w:cstheme="minorHAnsi"/>
          <w:b/>
        </w:rPr>
        <w:t xml:space="preserve">The </w:t>
      </w:r>
      <w:r>
        <w:rPr>
          <w:rFonts w:cstheme="minorHAnsi"/>
          <w:b/>
        </w:rPr>
        <w:t xml:space="preserve">Corporate </w:t>
      </w:r>
      <w:r w:rsidRPr="00765F2E">
        <w:rPr>
          <w:rFonts w:cstheme="minorHAnsi"/>
          <w:b/>
        </w:rPr>
        <w:t>capital programme has a 2020/21 delivery plan of £</w:t>
      </w:r>
      <w:r>
        <w:rPr>
          <w:rFonts w:cstheme="minorHAnsi"/>
          <w:b/>
        </w:rPr>
        <w:t>18.753</w:t>
      </w:r>
      <w:r w:rsidRPr="00765F2E">
        <w:rPr>
          <w:rFonts w:cstheme="minorHAnsi"/>
          <w:b/>
        </w:rPr>
        <w:t xml:space="preserve">m. The delivery plan has </w:t>
      </w:r>
      <w:r>
        <w:rPr>
          <w:rFonts w:cstheme="minorHAnsi"/>
          <w:b/>
        </w:rPr>
        <w:t>158</w:t>
      </w:r>
      <w:r w:rsidRPr="00765F2E">
        <w:rPr>
          <w:rFonts w:cstheme="minorHAnsi"/>
          <w:b/>
        </w:rPr>
        <w:t xml:space="preserve"> schemes that were worked on this year. The final outturn position is £</w:t>
      </w:r>
      <w:r>
        <w:rPr>
          <w:rFonts w:cstheme="minorHAnsi"/>
          <w:b/>
        </w:rPr>
        <w:t>9.512m</w:t>
      </w:r>
      <w:r w:rsidRPr="00765F2E">
        <w:rPr>
          <w:rFonts w:cstheme="minorHAnsi"/>
          <w:b/>
        </w:rPr>
        <w:t>, a variance of -£</w:t>
      </w:r>
      <w:r>
        <w:rPr>
          <w:rFonts w:cstheme="minorHAnsi"/>
          <w:b/>
        </w:rPr>
        <w:t>9.241</w:t>
      </w:r>
      <w:r w:rsidRPr="00765F2E">
        <w:rPr>
          <w:rFonts w:cstheme="minorHAnsi"/>
          <w:b/>
        </w:rPr>
        <w:t xml:space="preserve">m.  </w:t>
      </w:r>
    </w:p>
    <w:p w14:paraId="7DD93B7A" w14:textId="77777777" w:rsidR="00D10794" w:rsidRPr="00765F2E" w:rsidRDefault="00D10794" w:rsidP="00D10794">
      <w:pPr>
        <w:spacing w:after="0"/>
        <w:rPr>
          <w:rFonts w:cstheme="minorHAnsi"/>
          <w:b/>
        </w:rPr>
      </w:pPr>
    </w:p>
    <w:p w14:paraId="11CBAA90" w14:textId="35AF49DB" w:rsidR="00D10794" w:rsidRDefault="00D10794" w:rsidP="00D10794">
      <w:pPr>
        <w:spacing w:after="0"/>
      </w:pPr>
      <w:r w:rsidRPr="00FD0886">
        <w:t xml:space="preserve">The budget for the programme of building condition was set at £4.518m with 64 projects worked on in the year.  The largest </w:t>
      </w:r>
      <w:proofErr w:type="gramStart"/>
      <w:r w:rsidRPr="00FD0886">
        <w:t>project  to</w:t>
      </w:r>
      <w:proofErr w:type="gramEnd"/>
      <w:r w:rsidRPr="00FD0886">
        <w:t xml:space="preserve"> replace the Christ Church chiller units is now awaiting handover and created additional delivery of £0.077m against its 2020/21 delivery budget. Similarly work to the building fabric of Lancaster castle was completed in late March, creating a small additional delivery of £0.008m. </w:t>
      </w:r>
      <w:proofErr w:type="gramStart"/>
      <w:r w:rsidRPr="00FD0886">
        <w:t>A large number of</w:t>
      </w:r>
      <w:proofErr w:type="gramEnd"/>
      <w:r w:rsidRPr="00FD0886">
        <w:t xml:space="preserve"> the other planned projects have been hampered by access and lockdown restrictions causing an overall slipped delivery variance for the programme of -£2.565m and underspends of £0.050m against the original delivery plan. </w:t>
      </w:r>
    </w:p>
    <w:p w14:paraId="4D5B17E0" w14:textId="77777777" w:rsidR="00D10794" w:rsidRPr="00FD0886" w:rsidRDefault="00D10794" w:rsidP="00D10794">
      <w:pPr>
        <w:spacing w:after="0"/>
      </w:pPr>
    </w:p>
    <w:p w14:paraId="3AAFC3BE" w14:textId="77777777" w:rsidR="00D10794" w:rsidRDefault="00D10794" w:rsidP="00D10794">
      <w:pPr>
        <w:spacing w:after="0"/>
      </w:pPr>
      <w:r w:rsidRPr="00FD0886">
        <w:t xml:space="preserve">The migration to the Oracle cloud project within the Central systems and ICT programme, has incurred slippage of -£4.618m. The full budget was initially agreed as part of the 2020/21 delivery programme but soon after it was agreed that the installation work for the project was expected to be delivered in 2021/22. The project to install Microsoft 365 has now successfully rolled out with additional delivery of £0.029m. Within the year a further £0.246m was approved for a new fleet management system and it has been agreed to pay BTLS £0.075m for their work to date with -£0.171m slipping into 2021/22. </w:t>
      </w:r>
    </w:p>
    <w:p w14:paraId="03F521ED" w14:textId="77777777" w:rsidR="00D10794" w:rsidRPr="00FD0886" w:rsidRDefault="00D10794" w:rsidP="00D10794">
      <w:pPr>
        <w:spacing w:after="0"/>
      </w:pPr>
    </w:p>
    <w:p w14:paraId="6E2322AA" w14:textId="77777777" w:rsidR="00D10794" w:rsidRDefault="00D10794" w:rsidP="00D10794">
      <w:pPr>
        <w:spacing w:after="0"/>
      </w:pPr>
      <w:r w:rsidRPr="00FD0886">
        <w:t xml:space="preserve">The large project to repair the Burnley Queen Street mill chimney is now completed with an underspend of -£0.208m.  Works on reroofing and lighting at Chorley </w:t>
      </w:r>
      <w:r w:rsidRPr="00FD0886">
        <w:lastRenderedPageBreak/>
        <w:t xml:space="preserve">interchange is ready for handover early than anticipated and has an additional delivery variance of £0.045m. Mechanical works at Burnley library were handed over ahead of schedule with £0.027m of additional delivery. Underspends of -£0.182m have been recorded in 2020/21 including -£0.069m on Accrington New Era and -£0.047m on work at </w:t>
      </w:r>
      <w:proofErr w:type="gramStart"/>
      <w:r w:rsidRPr="00FD0886">
        <w:t>travellers</w:t>
      </w:r>
      <w:proofErr w:type="gramEnd"/>
      <w:r w:rsidRPr="00FD0886">
        <w:t xml:space="preserve"> sites.  </w:t>
      </w:r>
      <w:proofErr w:type="gramStart"/>
      <w:r w:rsidRPr="00FD0886">
        <w:t>Similarly</w:t>
      </w:r>
      <w:proofErr w:type="gramEnd"/>
      <w:r w:rsidRPr="00FD0886">
        <w:t xml:space="preserve"> to the Building Condition programme, access, supply and lockdown issues have disrupted the work and -£1.312m of work will now slip to 2021/22 for completion. </w:t>
      </w:r>
    </w:p>
    <w:p w14:paraId="54F5BBFB" w14:textId="77777777" w:rsidR="00D10794" w:rsidRPr="00FD0886" w:rsidRDefault="00D10794" w:rsidP="00D10794">
      <w:pPr>
        <w:spacing w:after="0"/>
      </w:pPr>
    </w:p>
    <w:p w14:paraId="72397F7F" w14:textId="77777777" w:rsidR="00D10794" w:rsidRPr="00FD0886" w:rsidRDefault="00D10794" w:rsidP="00A87DE9">
      <w:pPr>
        <w:spacing w:after="0"/>
      </w:pPr>
      <w:r w:rsidRPr="00FD0886">
        <w:t xml:space="preserve">Work at White Cross Mill 14 is now completed with a final underspend of -£0.034m. </w:t>
      </w:r>
    </w:p>
    <w:p w14:paraId="1736B890" w14:textId="77777777" w:rsidR="00D10794" w:rsidRDefault="00D10794" w:rsidP="00A87DE9">
      <w:pPr>
        <w:spacing w:after="0"/>
      </w:pPr>
    </w:p>
    <w:p w14:paraId="29532E67" w14:textId="77777777" w:rsidR="00D10794" w:rsidRDefault="00D10794" w:rsidP="00A87DE9">
      <w:pPr>
        <w:spacing w:after="0"/>
        <w:rPr>
          <w:b/>
        </w:rPr>
      </w:pPr>
      <w:r w:rsidRPr="00FA6E08">
        <w:rPr>
          <w:b/>
        </w:rPr>
        <w:t>Economic Development</w:t>
      </w:r>
    </w:p>
    <w:p w14:paraId="7727E0D5" w14:textId="77777777" w:rsidR="00D10794" w:rsidRPr="00FA6E08" w:rsidRDefault="00D10794" w:rsidP="00D10794">
      <w:pPr>
        <w:spacing w:after="0"/>
        <w:rPr>
          <w:b/>
        </w:rPr>
      </w:pPr>
    </w:p>
    <w:p w14:paraId="4FE94D27" w14:textId="77777777" w:rsidR="00D10794" w:rsidRDefault="00D10794" w:rsidP="00D10794">
      <w:pPr>
        <w:spacing w:after="0"/>
        <w:rPr>
          <w:rFonts w:cstheme="minorHAnsi"/>
          <w:b/>
        </w:rPr>
      </w:pPr>
      <w:r w:rsidRPr="00765F2E">
        <w:rPr>
          <w:rFonts w:cstheme="minorHAnsi"/>
          <w:b/>
        </w:rPr>
        <w:t xml:space="preserve">The </w:t>
      </w:r>
      <w:r>
        <w:rPr>
          <w:rFonts w:cstheme="minorHAnsi"/>
          <w:b/>
        </w:rPr>
        <w:t xml:space="preserve">Economic Development </w:t>
      </w:r>
      <w:r w:rsidRPr="00765F2E">
        <w:rPr>
          <w:rFonts w:cstheme="minorHAnsi"/>
          <w:b/>
        </w:rPr>
        <w:t>capital programme has a 2020/21 delivery plan of £</w:t>
      </w:r>
      <w:r>
        <w:rPr>
          <w:rFonts w:cstheme="minorHAnsi"/>
          <w:b/>
        </w:rPr>
        <w:t>9.203</w:t>
      </w:r>
      <w:r w:rsidRPr="00765F2E">
        <w:rPr>
          <w:rFonts w:cstheme="minorHAnsi"/>
          <w:b/>
        </w:rPr>
        <w:t xml:space="preserve">m. The delivery plan has </w:t>
      </w:r>
      <w:r>
        <w:rPr>
          <w:rFonts w:cstheme="minorHAnsi"/>
          <w:b/>
        </w:rPr>
        <w:t xml:space="preserve">15 </w:t>
      </w:r>
      <w:r w:rsidRPr="00765F2E">
        <w:rPr>
          <w:rFonts w:cstheme="minorHAnsi"/>
          <w:b/>
        </w:rPr>
        <w:t>schemes that were worked on this year. The final outturn position is £</w:t>
      </w:r>
      <w:r>
        <w:rPr>
          <w:rFonts w:cstheme="minorHAnsi"/>
          <w:b/>
        </w:rPr>
        <w:t>4.779m</w:t>
      </w:r>
      <w:r w:rsidRPr="00765F2E">
        <w:rPr>
          <w:rFonts w:cstheme="minorHAnsi"/>
          <w:b/>
        </w:rPr>
        <w:t>, a variance of -£</w:t>
      </w:r>
      <w:r>
        <w:rPr>
          <w:rFonts w:cstheme="minorHAnsi"/>
          <w:b/>
        </w:rPr>
        <w:t>4.424</w:t>
      </w:r>
      <w:r w:rsidRPr="00765F2E">
        <w:rPr>
          <w:rFonts w:cstheme="minorHAnsi"/>
          <w:b/>
        </w:rPr>
        <w:t xml:space="preserve">m.  </w:t>
      </w:r>
    </w:p>
    <w:p w14:paraId="4441C216" w14:textId="77777777" w:rsidR="00D10794" w:rsidRPr="00765F2E" w:rsidRDefault="00D10794" w:rsidP="00D10794">
      <w:pPr>
        <w:spacing w:after="0"/>
        <w:rPr>
          <w:rFonts w:cstheme="minorHAnsi"/>
          <w:b/>
        </w:rPr>
      </w:pPr>
    </w:p>
    <w:p w14:paraId="29BF9591" w14:textId="77777777" w:rsidR="00D10794" w:rsidRDefault="00D10794" w:rsidP="00D10794">
      <w:pPr>
        <w:spacing w:after="0"/>
      </w:pPr>
      <w:r w:rsidRPr="005F26D4">
        <w:t>The City Deal contribution of £1.295m was completed in August, however the majority of the contribution</w:t>
      </w:r>
      <w:r>
        <w:t xml:space="preserve"> amounts</w:t>
      </w:r>
      <w:r w:rsidRPr="005F26D4">
        <w:t xml:space="preserve"> to Brierfield Mill (</w:t>
      </w:r>
      <w:r>
        <w:t>-</w:t>
      </w:r>
      <w:r w:rsidRPr="005F26D4">
        <w:t xml:space="preserve">£0.783m) and </w:t>
      </w:r>
      <w:proofErr w:type="spellStart"/>
      <w:r w:rsidRPr="005F26D4">
        <w:t>Lomeshaye</w:t>
      </w:r>
      <w:proofErr w:type="spellEnd"/>
      <w:r w:rsidRPr="005F26D4">
        <w:t xml:space="preserve"> </w:t>
      </w:r>
      <w:r>
        <w:t>i</w:t>
      </w:r>
      <w:r w:rsidRPr="005F26D4">
        <w:t xml:space="preserve">ndustrial </w:t>
      </w:r>
      <w:r>
        <w:t>e</w:t>
      </w:r>
      <w:r w:rsidRPr="005F26D4">
        <w:t>state (</w:t>
      </w:r>
      <w:r>
        <w:t>-</w:t>
      </w:r>
      <w:r w:rsidRPr="005F26D4">
        <w:t xml:space="preserve">£1.500m) previously forecasted to be finalised in </w:t>
      </w:r>
      <w:r>
        <w:t xml:space="preserve">quarter </w:t>
      </w:r>
      <w:r w:rsidRPr="005F26D4">
        <w:t>3 have now slipped to 2021</w:t>
      </w:r>
      <w:r>
        <w:t>/</w:t>
      </w:r>
      <w:r w:rsidRPr="005F26D4">
        <w:t xml:space="preserve">22 when more work on the projects will have been completed.  </w:t>
      </w:r>
    </w:p>
    <w:p w14:paraId="35D9B1C5" w14:textId="77777777" w:rsidR="00D10794" w:rsidRPr="005F26D4" w:rsidRDefault="00D10794" w:rsidP="00D10794">
      <w:pPr>
        <w:spacing w:after="0"/>
      </w:pPr>
    </w:p>
    <w:p w14:paraId="7B85A117" w14:textId="77777777" w:rsidR="00D10794" w:rsidRDefault="00D10794" w:rsidP="00D10794">
      <w:pPr>
        <w:spacing w:after="0"/>
      </w:pPr>
      <w:r w:rsidRPr="005F26D4">
        <w:t xml:space="preserve">Of the £4.100m budget for Groundworks at </w:t>
      </w:r>
      <w:proofErr w:type="spellStart"/>
      <w:r w:rsidRPr="005F26D4">
        <w:t>Samlesbury</w:t>
      </w:r>
      <w:proofErr w:type="spellEnd"/>
      <w:r w:rsidRPr="005F26D4">
        <w:t xml:space="preserve"> the forecast had previously been lowered to £3.000m, although further lockdown measures reduced the actual outturn to £1.324m.  The project is now progressing well with utility and ground preparation work, it is expected that this slipped delivery of </w:t>
      </w:r>
      <w:r>
        <w:t>-</w:t>
      </w:r>
      <w:r w:rsidRPr="005F26D4">
        <w:t>£2.776 will now be delivered in 2021</w:t>
      </w:r>
      <w:r>
        <w:t>/</w:t>
      </w:r>
      <w:r w:rsidRPr="005F26D4">
        <w:t>22.</w:t>
      </w:r>
    </w:p>
    <w:p w14:paraId="5081D6FB" w14:textId="77777777" w:rsidR="00D10794" w:rsidRPr="005F26D4" w:rsidRDefault="00D10794" w:rsidP="00D10794">
      <w:pPr>
        <w:spacing w:after="0"/>
      </w:pPr>
    </w:p>
    <w:p w14:paraId="20213D1E" w14:textId="77777777" w:rsidR="00D10794" w:rsidRDefault="00D10794" w:rsidP="00D10794">
      <w:pPr>
        <w:spacing w:after="0"/>
      </w:pPr>
      <w:r w:rsidRPr="005F26D4">
        <w:t xml:space="preserve">Work on the submission of the Business Case for The Eden North project in Morecambe has created £0.357m of additional delivery, </w:t>
      </w:r>
      <w:r>
        <w:t xml:space="preserve">and </w:t>
      </w:r>
      <w:r w:rsidRPr="005F26D4">
        <w:t xml:space="preserve">it is forecast that remaining work will be completed next financial year.  </w:t>
      </w:r>
    </w:p>
    <w:p w14:paraId="36326AE3" w14:textId="77777777" w:rsidR="00D10794" w:rsidRPr="005F26D4" w:rsidRDefault="00D10794" w:rsidP="00D10794">
      <w:pPr>
        <w:spacing w:after="0"/>
      </w:pPr>
    </w:p>
    <w:p w14:paraId="473B48C7" w14:textId="77777777" w:rsidR="00D10794" w:rsidRDefault="00D10794" w:rsidP="00D10794">
      <w:pPr>
        <w:spacing w:after="0"/>
      </w:pPr>
      <w:r w:rsidRPr="005F26D4">
        <w:t>A payment to BT for the Superfast Broadband programme has seen additional delivery on the project of £0.412m for 2020</w:t>
      </w:r>
      <w:r>
        <w:t>/</w:t>
      </w:r>
      <w:r w:rsidRPr="005F26D4">
        <w:t>21 and further work on the Gigabit connectivity programme is anticipated for 2021</w:t>
      </w:r>
      <w:r>
        <w:t>/</w:t>
      </w:r>
      <w:r w:rsidRPr="005F26D4">
        <w:t>22.</w:t>
      </w:r>
    </w:p>
    <w:p w14:paraId="4863CA9E" w14:textId="77777777" w:rsidR="00D10794" w:rsidRDefault="00D10794" w:rsidP="00D10794">
      <w:pPr>
        <w:spacing w:after="0"/>
      </w:pPr>
    </w:p>
    <w:p w14:paraId="3760DE73" w14:textId="77777777" w:rsidR="00D10794" w:rsidRDefault="00D10794" w:rsidP="00D10794">
      <w:pPr>
        <w:spacing w:after="0"/>
        <w:rPr>
          <w:rFonts w:cstheme="minorHAnsi"/>
          <w:b/>
          <w:color w:val="000000" w:themeColor="text1"/>
        </w:rPr>
      </w:pPr>
      <w:r w:rsidRPr="00ED5B0A">
        <w:rPr>
          <w:rFonts w:cstheme="minorHAnsi"/>
          <w:b/>
          <w:color w:val="000000" w:themeColor="text1"/>
        </w:rPr>
        <w:t>Vehicles</w:t>
      </w:r>
    </w:p>
    <w:p w14:paraId="1A42AD75" w14:textId="77777777" w:rsidR="00D10794" w:rsidRDefault="00D10794" w:rsidP="00D10794">
      <w:pPr>
        <w:spacing w:after="0"/>
        <w:rPr>
          <w:rFonts w:cstheme="minorHAnsi"/>
          <w:b/>
          <w:color w:val="000000" w:themeColor="text1"/>
          <w:highlight w:val="yellow"/>
        </w:rPr>
      </w:pPr>
    </w:p>
    <w:p w14:paraId="0B052684" w14:textId="77777777" w:rsidR="00D10794" w:rsidRDefault="00D10794" w:rsidP="00D10794">
      <w:pPr>
        <w:spacing w:after="0"/>
        <w:rPr>
          <w:rFonts w:cstheme="minorHAnsi"/>
          <w:b/>
        </w:rPr>
      </w:pPr>
      <w:r w:rsidRPr="00765F2E">
        <w:rPr>
          <w:rFonts w:cstheme="minorHAnsi"/>
          <w:b/>
        </w:rPr>
        <w:t xml:space="preserve">The </w:t>
      </w:r>
      <w:r>
        <w:rPr>
          <w:rFonts w:cstheme="minorHAnsi"/>
          <w:b/>
        </w:rPr>
        <w:t xml:space="preserve">Vehicles </w:t>
      </w:r>
      <w:r w:rsidRPr="00765F2E">
        <w:rPr>
          <w:rFonts w:cstheme="minorHAnsi"/>
          <w:b/>
        </w:rPr>
        <w:t>capital programme has a 2020/21 delivery plan of £</w:t>
      </w:r>
      <w:r>
        <w:rPr>
          <w:rFonts w:cstheme="minorHAnsi"/>
          <w:b/>
        </w:rPr>
        <w:t>4.924</w:t>
      </w:r>
      <w:r w:rsidRPr="00765F2E">
        <w:rPr>
          <w:rFonts w:cstheme="minorHAnsi"/>
          <w:b/>
        </w:rPr>
        <w:t xml:space="preserve">m. The delivery plan has </w:t>
      </w:r>
      <w:r>
        <w:rPr>
          <w:rFonts w:cstheme="minorHAnsi"/>
          <w:b/>
        </w:rPr>
        <w:t>over 25 vehicles to be delivered this</w:t>
      </w:r>
      <w:r w:rsidRPr="00765F2E">
        <w:rPr>
          <w:rFonts w:cstheme="minorHAnsi"/>
          <w:b/>
        </w:rPr>
        <w:t xml:space="preserve"> year. The final outturn position is £</w:t>
      </w:r>
      <w:r>
        <w:rPr>
          <w:rFonts w:cstheme="minorHAnsi"/>
          <w:b/>
        </w:rPr>
        <w:t>3.002m</w:t>
      </w:r>
      <w:r w:rsidRPr="00765F2E">
        <w:rPr>
          <w:rFonts w:cstheme="minorHAnsi"/>
          <w:b/>
        </w:rPr>
        <w:t>, a variance of -£</w:t>
      </w:r>
      <w:r>
        <w:rPr>
          <w:rFonts w:cstheme="minorHAnsi"/>
          <w:b/>
        </w:rPr>
        <w:t>1.922</w:t>
      </w:r>
      <w:r w:rsidRPr="00765F2E">
        <w:rPr>
          <w:rFonts w:cstheme="minorHAnsi"/>
          <w:b/>
        </w:rPr>
        <w:t xml:space="preserve">m.  </w:t>
      </w:r>
    </w:p>
    <w:p w14:paraId="5FA35497" w14:textId="77777777" w:rsidR="00D10794" w:rsidRPr="00765F2E" w:rsidRDefault="00D10794" w:rsidP="00D10794">
      <w:pPr>
        <w:spacing w:after="0"/>
        <w:rPr>
          <w:rFonts w:cstheme="minorHAnsi"/>
          <w:b/>
        </w:rPr>
      </w:pPr>
    </w:p>
    <w:p w14:paraId="17F11F5E" w14:textId="77777777" w:rsidR="00D10794" w:rsidRDefault="00D10794" w:rsidP="00D10794">
      <w:pPr>
        <w:spacing w:after="0"/>
        <w:rPr>
          <w:rFonts w:cstheme="minorHAnsi"/>
        </w:rPr>
      </w:pPr>
      <w:r w:rsidRPr="00964F1D">
        <w:rPr>
          <w:rFonts w:cstheme="minorHAnsi"/>
        </w:rPr>
        <w:t>The most significant items procured this year include 9 salt spreading vehicles</w:t>
      </w:r>
      <w:r>
        <w:rPr>
          <w:rFonts w:cstheme="minorHAnsi"/>
        </w:rPr>
        <w:t xml:space="preserve">, 3 mobile libraries, 15 </w:t>
      </w:r>
      <w:proofErr w:type="spellStart"/>
      <w:r>
        <w:rPr>
          <w:rFonts w:cstheme="minorHAnsi"/>
        </w:rPr>
        <w:t>travel</w:t>
      </w:r>
      <w:r w:rsidRPr="00964F1D">
        <w:rPr>
          <w:rFonts w:cstheme="minorHAnsi"/>
        </w:rPr>
        <w:t>care</w:t>
      </w:r>
      <w:proofErr w:type="spellEnd"/>
      <w:r w:rsidRPr="00964F1D">
        <w:rPr>
          <w:rFonts w:cstheme="minorHAnsi"/>
        </w:rPr>
        <w:t xml:space="preserve"> minibuses, 3 excavators and ancillary equipment for </w:t>
      </w:r>
      <w:r>
        <w:rPr>
          <w:rFonts w:cstheme="minorHAnsi"/>
        </w:rPr>
        <w:t>w</w:t>
      </w:r>
      <w:r w:rsidRPr="00964F1D">
        <w:rPr>
          <w:rFonts w:cstheme="minorHAnsi"/>
        </w:rPr>
        <w:t>aste</w:t>
      </w:r>
      <w:r>
        <w:rPr>
          <w:rFonts w:cstheme="minorHAnsi"/>
        </w:rPr>
        <w:t xml:space="preserve"> along with</w:t>
      </w:r>
      <w:r w:rsidRPr="00964F1D">
        <w:rPr>
          <w:rFonts w:cstheme="minorHAnsi"/>
        </w:rPr>
        <w:t xml:space="preserve"> 2 tailored vehicles and a trailer for trading standards. This is in addition to </w:t>
      </w:r>
      <w:proofErr w:type="gramStart"/>
      <w:r w:rsidRPr="00964F1D">
        <w:rPr>
          <w:rFonts w:cstheme="minorHAnsi"/>
        </w:rPr>
        <w:t>a number of</w:t>
      </w:r>
      <w:proofErr w:type="gramEnd"/>
      <w:r w:rsidRPr="00964F1D">
        <w:rPr>
          <w:rFonts w:cstheme="minorHAnsi"/>
        </w:rPr>
        <w:t xml:space="preserve"> vans and other specialised vehicles for </w:t>
      </w:r>
      <w:r>
        <w:rPr>
          <w:rFonts w:cstheme="minorHAnsi"/>
        </w:rPr>
        <w:t>h</w:t>
      </w:r>
      <w:r w:rsidRPr="00964F1D">
        <w:rPr>
          <w:rFonts w:cstheme="minorHAnsi"/>
        </w:rPr>
        <w:t xml:space="preserve">ighways and other services.  </w:t>
      </w:r>
      <w:proofErr w:type="gramStart"/>
      <w:r>
        <w:rPr>
          <w:rFonts w:cstheme="minorHAnsi"/>
        </w:rPr>
        <w:t>The majority of</w:t>
      </w:r>
      <w:proofErr w:type="gramEnd"/>
      <w:r>
        <w:rPr>
          <w:rFonts w:cstheme="minorHAnsi"/>
        </w:rPr>
        <w:t xml:space="preserve"> these vehicles were in service during 2020/21.</w:t>
      </w:r>
    </w:p>
    <w:p w14:paraId="184D0BF4" w14:textId="77777777" w:rsidR="00D10794" w:rsidRDefault="00D10794" w:rsidP="00D10794">
      <w:pPr>
        <w:spacing w:after="0"/>
        <w:rPr>
          <w:rFonts w:cstheme="minorHAnsi"/>
        </w:rPr>
      </w:pPr>
    </w:p>
    <w:p w14:paraId="5ED048F6" w14:textId="77777777" w:rsidR="00D10794" w:rsidRDefault="00D10794" w:rsidP="00D10794">
      <w:pPr>
        <w:spacing w:after="0"/>
        <w:rPr>
          <w:rFonts w:cstheme="minorHAnsi"/>
          <w:bCs/>
        </w:rPr>
      </w:pPr>
      <w:r w:rsidRPr="00964F1D">
        <w:rPr>
          <w:rFonts w:cstheme="minorHAnsi"/>
          <w:bCs/>
        </w:rPr>
        <w:t xml:space="preserve">Due to </w:t>
      </w:r>
      <w:r>
        <w:rPr>
          <w:rFonts w:cstheme="minorHAnsi"/>
          <w:bCs/>
        </w:rPr>
        <w:t xml:space="preserve">delays in delivery of vehicles caused by </w:t>
      </w:r>
      <w:proofErr w:type="spellStart"/>
      <w:r>
        <w:rPr>
          <w:rFonts w:cstheme="minorHAnsi"/>
          <w:bCs/>
        </w:rPr>
        <w:t>Covid</w:t>
      </w:r>
      <w:proofErr w:type="spellEnd"/>
      <w:r>
        <w:rPr>
          <w:rFonts w:cstheme="minorHAnsi"/>
          <w:bCs/>
        </w:rPr>
        <w:t xml:space="preserve"> lockdowns the spend in year was £3.002m as forecasted in quarter 3. </w:t>
      </w:r>
      <w:r w:rsidRPr="00FE0217">
        <w:rPr>
          <w:rFonts w:cstheme="minorHAnsi"/>
          <w:bCs/>
        </w:rPr>
        <w:t xml:space="preserve">There were delays in the delivery of the mobile library vehicles due to the body manufacturer diverting all their resources to mobile </w:t>
      </w:r>
      <w:proofErr w:type="spellStart"/>
      <w:r w:rsidRPr="00FE0217">
        <w:rPr>
          <w:rFonts w:cstheme="minorHAnsi"/>
          <w:bCs/>
        </w:rPr>
        <w:t>Covid</w:t>
      </w:r>
      <w:proofErr w:type="spellEnd"/>
      <w:r w:rsidRPr="00FE0217">
        <w:rPr>
          <w:rFonts w:cstheme="minorHAnsi"/>
          <w:bCs/>
        </w:rPr>
        <w:t xml:space="preserve"> testing vehicles for the NHS</w:t>
      </w:r>
    </w:p>
    <w:p w14:paraId="778BDD7B" w14:textId="14325860" w:rsidR="00D10794" w:rsidRDefault="00D10794" w:rsidP="00D10794">
      <w:pPr>
        <w:spacing w:after="0"/>
        <w:rPr>
          <w:rFonts w:cstheme="minorHAnsi"/>
          <w:bCs/>
        </w:rPr>
      </w:pPr>
    </w:p>
    <w:p w14:paraId="6A751B89" w14:textId="77777777" w:rsidR="00A87DE9" w:rsidRDefault="00A87DE9" w:rsidP="00D10794">
      <w:pPr>
        <w:spacing w:after="0"/>
        <w:rPr>
          <w:rFonts w:cstheme="minorHAnsi"/>
          <w:bCs/>
        </w:rPr>
      </w:pPr>
    </w:p>
    <w:p w14:paraId="4BBCA8E6" w14:textId="77777777" w:rsidR="00D10794" w:rsidRDefault="00D10794" w:rsidP="00D10794">
      <w:pPr>
        <w:spacing w:after="0"/>
        <w:rPr>
          <w:rFonts w:cstheme="minorHAnsi"/>
          <w:b/>
          <w:color w:val="000000" w:themeColor="text1"/>
        </w:rPr>
      </w:pPr>
      <w:r w:rsidRPr="005A64A2">
        <w:rPr>
          <w:rFonts w:cstheme="minorHAnsi"/>
          <w:b/>
          <w:color w:val="000000" w:themeColor="text1"/>
        </w:rPr>
        <w:lastRenderedPageBreak/>
        <w:t>Transforming Cities Fund (TCF)</w:t>
      </w:r>
    </w:p>
    <w:p w14:paraId="1FA86B14" w14:textId="77777777" w:rsidR="00D10794" w:rsidRPr="005A64A2" w:rsidRDefault="00D10794" w:rsidP="00D10794">
      <w:pPr>
        <w:spacing w:after="0"/>
        <w:rPr>
          <w:rFonts w:cstheme="minorHAnsi"/>
          <w:b/>
          <w:color w:val="000000" w:themeColor="text1"/>
        </w:rPr>
      </w:pPr>
    </w:p>
    <w:p w14:paraId="1B20AAD8" w14:textId="77777777" w:rsidR="00D10794" w:rsidRDefault="00D10794" w:rsidP="00D10794">
      <w:pPr>
        <w:spacing w:after="0"/>
        <w:rPr>
          <w:rFonts w:cstheme="minorHAnsi"/>
          <w:b/>
        </w:rPr>
      </w:pPr>
      <w:r w:rsidRPr="00765F2E">
        <w:rPr>
          <w:rFonts w:cstheme="minorHAnsi"/>
          <w:b/>
        </w:rPr>
        <w:t xml:space="preserve">The </w:t>
      </w:r>
      <w:r>
        <w:rPr>
          <w:rFonts w:cstheme="minorHAnsi"/>
          <w:b/>
        </w:rPr>
        <w:t xml:space="preserve">TCF </w:t>
      </w:r>
      <w:r w:rsidRPr="00765F2E">
        <w:rPr>
          <w:rFonts w:cstheme="minorHAnsi"/>
          <w:b/>
        </w:rPr>
        <w:t>capital programme has a 2020/21 delivery plan of £</w:t>
      </w:r>
      <w:r>
        <w:rPr>
          <w:rFonts w:cstheme="minorHAnsi"/>
          <w:b/>
        </w:rPr>
        <w:t>3.936</w:t>
      </w:r>
      <w:r w:rsidRPr="00765F2E">
        <w:rPr>
          <w:rFonts w:cstheme="minorHAnsi"/>
          <w:b/>
        </w:rPr>
        <w:t xml:space="preserve">m. The delivery plan has </w:t>
      </w:r>
      <w:r>
        <w:rPr>
          <w:rFonts w:cstheme="minorHAnsi"/>
          <w:b/>
        </w:rPr>
        <w:t xml:space="preserve">3 </w:t>
      </w:r>
      <w:r w:rsidRPr="00765F2E">
        <w:rPr>
          <w:rFonts w:cstheme="minorHAnsi"/>
          <w:b/>
        </w:rPr>
        <w:t>schemes that were worked on this year. The final outturn position is £</w:t>
      </w:r>
      <w:r>
        <w:rPr>
          <w:rFonts w:cstheme="minorHAnsi"/>
          <w:b/>
        </w:rPr>
        <w:t>1.378m</w:t>
      </w:r>
      <w:r w:rsidRPr="00765F2E">
        <w:rPr>
          <w:rFonts w:cstheme="minorHAnsi"/>
          <w:b/>
        </w:rPr>
        <w:t>, a variance of -£</w:t>
      </w:r>
      <w:r>
        <w:rPr>
          <w:rFonts w:cstheme="minorHAnsi"/>
          <w:b/>
        </w:rPr>
        <w:t>2.558</w:t>
      </w:r>
      <w:r w:rsidRPr="00765F2E">
        <w:rPr>
          <w:rFonts w:cstheme="minorHAnsi"/>
          <w:b/>
        </w:rPr>
        <w:t xml:space="preserve">m.  </w:t>
      </w:r>
    </w:p>
    <w:p w14:paraId="4F46EC5F" w14:textId="77777777" w:rsidR="00D10794" w:rsidRPr="00765F2E" w:rsidRDefault="00D10794" w:rsidP="00D10794">
      <w:pPr>
        <w:spacing w:after="0"/>
        <w:rPr>
          <w:rFonts w:cstheme="minorHAnsi"/>
          <w:b/>
        </w:rPr>
      </w:pPr>
    </w:p>
    <w:p w14:paraId="6EE6D26C" w14:textId="77777777" w:rsidR="00D10794" w:rsidRPr="00216B69" w:rsidRDefault="00D10794" w:rsidP="00D10794">
      <w:pPr>
        <w:spacing w:after="0"/>
        <w:rPr>
          <w:rFonts w:cstheme="minorHAnsi"/>
        </w:rPr>
      </w:pPr>
      <w:r w:rsidRPr="005443A9">
        <w:rPr>
          <w:rFonts w:cstheme="minorHAnsi"/>
        </w:rPr>
        <w:t xml:space="preserve">Lancashire County Council had their revised proposal for TCF investment in the Preston city region approved late on in June 2020. Work is progressing as per the agreed TCF timeline. Despite early delays due to </w:t>
      </w:r>
      <w:proofErr w:type="spellStart"/>
      <w:r w:rsidRPr="005443A9">
        <w:rPr>
          <w:rFonts w:cstheme="minorHAnsi"/>
        </w:rPr>
        <w:t>Covid</w:t>
      </w:r>
      <w:proofErr w:type="spellEnd"/>
      <w:r w:rsidRPr="005443A9">
        <w:rPr>
          <w:rFonts w:cstheme="minorHAnsi"/>
        </w:rPr>
        <w:t xml:space="preserve"> lockdowns work has started on the Transforming Ringway project, and design work is well underway for the Cottam Parkway station project. Significant progress on both these projects is expected in 2021/22.</w:t>
      </w:r>
    </w:p>
    <w:p w14:paraId="2823783D" w14:textId="77777777" w:rsidR="00D10794" w:rsidRDefault="00D10794" w:rsidP="00D10794">
      <w:pPr>
        <w:autoSpaceDE/>
        <w:autoSpaceDN/>
        <w:adjustRightInd/>
        <w:spacing w:after="0"/>
        <w:jc w:val="left"/>
        <w:rPr>
          <w:rFonts w:cs="Arial"/>
          <w:b/>
          <w:bCs/>
        </w:rPr>
      </w:pPr>
    </w:p>
    <w:p w14:paraId="73C89180" w14:textId="77777777" w:rsidR="00D10794" w:rsidRDefault="00D10794" w:rsidP="00D10794">
      <w:pPr>
        <w:autoSpaceDE/>
        <w:autoSpaceDN/>
        <w:adjustRightInd/>
        <w:spacing w:after="0"/>
        <w:jc w:val="left"/>
        <w:rPr>
          <w:rFonts w:cs="Arial"/>
          <w:b/>
          <w:bCs/>
        </w:rPr>
      </w:pPr>
    </w:p>
    <w:p w14:paraId="7082D76E" w14:textId="77777777" w:rsidR="00D10794" w:rsidRDefault="00D10794" w:rsidP="00D10794">
      <w:pPr>
        <w:autoSpaceDE/>
        <w:autoSpaceDN/>
        <w:adjustRightInd/>
        <w:spacing w:after="0"/>
        <w:jc w:val="left"/>
        <w:rPr>
          <w:rFonts w:cs="Arial"/>
          <w:b/>
          <w:bCs/>
        </w:rPr>
      </w:pPr>
    </w:p>
    <w:p w14:paraId="668F8195" w14:textId="77777777" w:rsidR="00D10794" w:rsidRDefault="00D10794" w:rsidP="00D10794">
      <w:pPr>
        <w:autoSpaceDE/>
        <w:autoSpaceDN/>
        <w:adjustRightInd/>
        <w:spacing w:after="0"/>
        <w:jc w:val="left"/>
        <w:rPr>
          <w:rFonts w:cs="Arial"/>
          <w:b/>
          <w:bCs/>
        </w:rPr>
      </w:pPr>
    </w:p>
    <w:p w14:paraId="2A6B1D41" w14:textId="77777777" w:rsidR="00D10794" w:rsidRDefault="00D10794" w:rsidP="00D10794">
      <w:pPr>
        <w:autoSpaceDE/>
        <w:autoSpaceDN/>
        <w:adjustRightInd/>
        <w:spacing w:after="0"/>
        <w:jc w:val="left"/>
        <w:rPr>
          <w:rFonts w:cs="Arial"/>
          <w:b/>
          <w:bCs/>
        </w:rPr>
      </w:pPr>
    </w:p>
    <w:p w14:paraId="6A4DFE35" w14:textId="77777777" w:rsidR="00D10794" w:rsidRDefault="00D10794" w:rsidP="00D10794">
      <w:pPr>
        <w:autoSpaceDE/>
        <w:autoSpaceDN/>
        <w:adjustRightInd/>
        <w:spacing w:after="0"/>
        <w:jc w:val="left"/>
        <w:rPr>
          <w:rFonts w:cs="Arial"/>
          <w:b/>
          <w:bCs/>
        </w:rPr>
      </w:pPr>
    </w:p>
    <w:p w14:paraId="4D1E2EEA" w14:textId="77777777" w:rsidR="00D10794" w:rsidRDefault="00D10794" w:rsidP="00D10794">
      <w:pPr>
        <w:autoSpaceDE/>
        <w:autoSpaceDN/>
        <w:adjustRightInd/>
        <w:spacing w:after="0"/>
        <w:jc w:val="left"/>
        <w:rPr>
          <w:rFonts w:cs="Arial"/>
          <w:b/>
          <w:bCs/>
        </w:rPr>
      </w:pPr>
    </w:p>
    <w:p w14:paraId="19FAA3EC" w14:textId="77777777" w:rsidR="00D10794" w:rsidRDefault="00D10794" w:rsidP="00D10794">
      <w:pPr>
        <w:autoSpaceDE/>
        <w:autoSpaceDN/>
        <w:adjustRightInd/>
        <w:spacing w:after="0"/>
        <w:jc w:val="left"/>
        <w:rPr>
          <w:rFonts w:cs="Arial"/>
          <w:b/>
          <w:bCs/>
        </w:rPr>
      </w:pPr>
    </w:p>
    <w:p w14:paraId="3F6F5134" w14:textId="77777777" w:rsidR="00D10794" w:rsidRDefault="00D10794" w:rsidP="00D10794">
      <w:pPr>
        <w:autoSpaceDE/>
        <w:autoSpaceDN/>
        <w:adjustRightInd/>
        <w:spacing w:after="0"/>
        <w:jc w:val="left"/>
        <w:rPr>
          <w:rFonts w:cs="Arial"/>
          <w:b/>
          <w:bCs/>
        </w:rPr>
      </w:pPr>
    </w:p>
    <w:p w14:paraId="2C8B01C5" w14:textId="77777777" w:rsidR="00D10794" w:rsidRDefault="00D10794" w:rsidP="00D10794">
      <w:pPr>
        <w:autoSpaceDE/>
        <w:autoSpaceDN/>
        <w:adjustRightInd/>
        <w:spacing w:after="0"/>
        <w:jc w:val="left"/>
        <w:rPr>
          <w:rFonts w:cs="Arial"/>
          <w:b/>
          <w:bCs/>
        </w:rPr>
      </w:pPr>
    </w:p>
    <w:p w14:paraId="6BCFC026" w14:textId="77777777" w:rsidR="00D10794" w:rsidRDefault="00D10794" w:rsidP="00D10794">
      <w:pPr>
        <w:autoSpaceDE/>
        <w:autoSpaceDN/>
        <w:adjustRightInd/>
        <w:spacing w:after="0"/>
        <w:jc w:val="left"/>
        <w:rPr>
          <w:rFonts w:cs="Arial"/>
          <w:b/>
          <w:bCs/>
        </w:rPr>
      </w:pPr>
    </w:p>
    <w:p w14:paraId="1C0B6CFD" w14:textId="77777777" w:rsidR="00D10794" w:rsidRDefault="00D10794" w:rsidP="00D10794">
      <w:pPr>
        <w:autoSpaceDE/>
        <w:autoSpaceDN/>
        <w:adjustRightInd/>
        <w:spacing w:after="0"/>
        <w:jc w:val="left"/>
        <w:rPr>
          <w:rFonts w:cs="Arial"/>
          <w:b/>
          <w:bCs/>
        </w:rPr>
      </w:pPr>
    </w:p>
    <w:p w14:paraId="7D60F10F" w14:textId="77777777" w:rsidR="00D10794" w:rsidRDefault="00D10794" w:rsidP="00D10794">
      <w:pPr>
        <w:autoSpaceDE/>
        <w:autoSpaceDN/>
        <w:adjustRightInd/>
        <w:spacing w:after="0"/>
        <w:jc w:val="left"/>
        <w:rPr>
          <w:rFonts w:cs="Arial"/>
          <w:b/>
          <w:bCs/>
        </w:rPr>
      </w:pPr>
    </w:p>
    <w:p w14:paraId="0B0CD3C6" w14:textId="77777777" w:rsidR="00D10794" w:rsidRDefault="00D10794" w:rsidP="00D10794">
      <w:pPr>
        <w:autoSpaceDE/>
        <w:autoSpaceDN/>
        <w:adjustRightInd/>
        <w:spacing w:after="0"/>
        <w:jc w:val="left"/>
        <w:rPr>
          <w:rFonts w:cs="Arial"/>
          <w:b/>
          <w:bCs/>
        </w:rPr>
      </w:pPr>
    </w:p>
    <w:p w14:paraId="06250835" w14:textId="77777777" w:rsidR="00D10794" w:rsidRDefault="00D10794" w:rsidP="00D10794">
      <w:pPr>
        <w:autoSpaceDE/>
        <w:autoSpaceDN/>
        <w:adjustRightInd/>
        <w:spacing w:after="0"/>
        <w:jc w:val="left"/>
        <w:rPr>
          <w:rFonts w:cs="Arial"/>
          <w:b/>
          <w:bCs/>
        </w:rPr>
      </w:pPr>
    </w:p>
    <w:p w14:paraId="55B89259" w14:textId="77777777" w:rsidR="00D10794" w:rsidRDefault="00D10794" w:rsidP="00D10794">
      <w:pPr>
        <w:autoSpaceDE/>
        <w:autoSpaceDN/>
        <w:adjustRightInd/>
        <w:spacing w:after="0"/>
        <w:jc w:val="left"/>
        <w:rPr>
          <w:rFonts w:cs="Arial"/>
          <w:b/>
          <w:bCs/>
        </w:rPr>
      </w:pPr>
    </w:p>
    <w:p w14:paraId="24D349E8" w14:textId="77777777" w:rsidR="00D10794" w:rsidRDefault="00D10794" w:rsidP="00D10794">
      <w:pPr>
        <w:autoSpaceDE/>
        <w:autoSpaceDN/>
        <w:adjustRightInd/>
        <w:spacing w:after="0"/>
        <w:jc w:val="left"/>
        <w:rPr>
          <w:rFonts w:cs="Arial"/>
          <w:b/>
          <w:bCs/>
        </w:rPr>
      </w:pPr>
    </w:p>
    <w:p w14:paraId="58C7207F" w14:textId="77777777" w:rsidR="00D10794" w:rsidRDefault="00D10794" w:rsidP="00D10794">
      <w:pPr>
        <w:autoSpaceDE/>
        <w:autoSpaceDN/>
        <w:adjustRightInd/>
        <w:spacing w:after="0"/>
        <w:jc w:val="left"/>
        <w:rPr>
          <w:rFonts w:cs="Arial"/>
          <w:b/>
          <w:bCs/>
        </w:rPr>
      </w:pPr>
    </w:p>
    <w:p w14:paraId="6A369275" w14:textId="77777777" w:rsidR="00D10794" w:rsidRDefault="00D10794" w:rsidP="00D10794">
      <w:pPr>
        <w:autoSpaceDE/>
        <w:autoSpaceDN/>
        <w:adjustRightInd/>
        <w:spacing w:after="0"/>
        <w:jc w:val="left"/>
        <w:rPr>
          <w:rFonts w:cs="Arial"/>
          <w:b/>
          <w:bCs/>
        </w:rPr>
      </w:pPr>
    </w:p>
    <w:p w14:paraId="4A9D890A" w14:textId="77777777" w:rsidR="00D10794" w:rsidRDefault="00D10794" w:rsidP="00D10794">
      <w:pPr>
        <w:autoSpaceDE/>
        <w:autoSpaceDN/>
        <w:adjustRightInd/>
        <w:spacing w:after="0"/>
        <w:jc w:val="left"/>
        <w:rPr>
          <w:rFonts w:cs="Arial"/>
          <w:b/>
          <w:bCs/>
        </w:rPr>
      </w:pPr>
    </w:p>
    <w:p w14:paraId="189F2C1D" w14:textId="77777777" w:rsidR="00D10794" w:rsidRDefault="00D10794" w:rsidP="00D10794">
      <w:pPr>
        <w:autoSpaceDE/>
        <w:autoSpaceDN/>
        <w:adjustRightInd/>
        <w:spacing w:after="0"/>
        <w:jc w:val="left"/>
        <w:rPr>
          <w:rFonts w:cs="Arial"/>
          <w:b/>
          <w:bCs/>
        </w:rPr>
      </w:pPr>
    </w:p>
    <w:p w14:paraId="2D6C0218" w14:textId="77777777" w:rsidR="00D10794" w:rsidRDefault="00D10794" w:rsidP="00D10794">
      <w:pPr>
        <w:autoSpaceDE/>
        <w:autoSpaceDN/>
        <w:adjustRightInd/>
        <w:spacing w:after="0"/>
        <w:jc w:val="left"/>
        <w:rPr>
          <w:rFonts w:cs="Arial"/>
          <w:b/>
          <w:bCs/>
        </w:rPr>
      </w:pPr>
    </w:p>
    <w:p w14:paraId="239916FB" w14:textId="77777777" w:rsidR="00D10794" w:rsidRDefault="00D10794" w:rsidP="00D10794">
      <w:pPr>
        <w:autoSpaceDE/>
        <w:autoSpaceDN/>
        <w:adjustRightInd/>
        <w:spacing w:after="0"/>
        <w:jc w:val="left"/>
        <w:rPr>
          <w:rFonts w:cs="Arial"/>
          <w:b/>
          <w:bCs/>
        </w:rPr>
      </w:pPr>
    </w:p>
    <w:p w14:paraId="431360DE" w14:textId="77777777" w:rsidR="00D10794" w:rsidRDefault="00D10794" w:rsidP="00D10794">
      <w:pPr>
        <w:autoSpaceDE/>
        <w:autoSpaceDN/>
        <w:adjustRightInd/>
        <w:spacing w:after="0"/>
        <w:jc w:val="left"/>
        <w:rPr>
          <w:rFonts w:cs="Arial"/>
          <w:b/>
          <w:bCs/>
        </w:rPr>
      </w:pPr>
    </w:p>
    <w:p w14:paraId="5977FBA4" w14:textId="3FD098B5" w:rsidR="00D10794" w:rsidRDefault="00D10794" w:rsidP="00D10794">
      <w:pPr>
        <w:autoSpaceDE/>
        <w:autoSpaceDN/>
        <w:adjustRightInd/>
        <w:spacing w:after="0"/>
        <w:jc w:val="left"/>
        <w:rPr>
          <w:rFonts w:cs="Arial"/>
          <w:b/>
          <w:bCs/>
        </w:rPr>
      </w:pPr>
    </w:p>
    <w:p w14:paraId="407F34F7" w14:textId="6B1FC012" w:rsidR="00C42640" w:rsidRDefault="00C42640" w:rsidP="00D10794">
      <w:pPr>
        <w:autoSpaceDE/>
        <w:autoSpaceDN/>
        <w:adjustRightInd/>
        <w:spacing w:after="0"/>
        <w:jc w:val="left"/>
        <w:rPr>
          <w:rFonts w:cs="Arial"/>
          <w:b/>
          <w:bCs/>
        </w:rPr>
      </w:pPr>
    </w:p>
    <w:p w14:paraId="3C18524C" w14:textId="0C1A0CD9" w:rsidR="00C42640" w:rsidRDefault="00C42640" w:rsidP="00D10794">
      <w:pPr>
        <w:autoSpaceDE/>
        <w:autoSpaceDN/>
        <w:adjustRightInd/>
        <w:spacing w:after="0"/>
        <w:jc w:val="left"/>
        <w:rPr>
          <w:rFonts w:cs="Arial"/>
          <w:b/>
          <w:bCs/>
        </w:rPr>
      </w:pPr>
    </w:p>
    <w:p w14:paraId="5E6B8F23" w14:textId="5F5F154B" w:rsidR="00C42640" w:rsidRDefault="00C42640" w:rsidP="00D10794">
      <w:pPr>
        <w:autoSpaceDE/>
        <w:autoSpaceDN/>
        <w:adjustRightInd/>
        <w:spacing w:after="0"/>
        <w:jc w:val="left"/>
        <w:rPr>
          <w:rFonts w:cs="Arial"/>
          <w:b/>
          <w:bCs/>
        </w:rPr>
      </w:pPr>
    </w:p>
    <w:p w14:paraId="5DC0C772" w14:textId="47B03B27" w:rsidR="00C42640" w:rsidRDefault="00C42640" w:rsidP="00D10794">
      <w:pPr>
        <w:autoSpaceDE/>
        <w:autoSpaceDN/>
        <w:adjustRightInd/>
        <w:spacing w:after="0"/>
        <w:jc w:val="left"/>
        <w:rPr>
          <w:rFonts w:cs="Arial"/>
          <w:b/>
          <w:bCs/>
        </w:rPr>
      </w:pPr>
    </w:p>
    <w:p w14:paraId="4EDA1FBC" w14:textId="21003D99" w:rsidR="00C42640" w:rsidRDefault="00C42640" w:rsidP="00D10794">
      <w:pPr>
        <w:autoSpaceDE/>
        <w:autoSpaceDN/>
        <w:adjustRightInd/>
        <w:spacing w:after="0"/>
        <w:jc w:val="left"/>
        <w:rPr>
          <w:rFonts w:cs="Arial"/>
          <w:b/>
          <w:bCs/>
        </w:rPr>
      </w:pPr>
    </w:p>
    <w:p w14:paraId="2147E94E" w14:textId="5ECE1D31" w:rsidR="00C42640" w:rsidRDefault="00C42640" w:rsidP="00D10794">
      <w:pPr>
        <w:autoSpaceDE/>
        <w:autoSpaceDN/>
        <w:adjustRightInd/>
        <w:spacing w:after="0"/>
        <w:jc w:val="left"/>
        <w:rPr>
          <w:rFonts w:cs="Arial"/>
          <w:b/>
          <w:bCs/>
        </w:rPr>
      </w:pPr>
    </w:p>
    <w:p w14:paraId="2442C20F" w14:textId="301B8A73" w:rsidR="00C42640" w:rsidRDefault="00C42640" w:rsidP="00D10794">
      <w:pPr>
        <w:autoSpaceDE/>
        <w:autoSpaceDN/>
        <w:adjustRightInd/>
        <w:spacing w:after="0"/>
        <w:jc w:val="left"/>
        <w:rPr>
          <w:rFonts w:cs="Arial"/>
          <w:b/>
          <w:bCs/>
        </w:rPr>
      </w:pPr>
    </w:p>
    <w:p w14:paraId="2B9B1ED1" w14:textId="78FA04E0" w:rsidR="00C42640" w:rsidRDefault="00C42640" w:rsidP="00D10794">
      <w:pPr>
        <w:autoSpaceDE/>
        <w:autoSpaceDN/>
        <w:adjustRightInd/>
        <w:spacing w:after="0"/>
        <w:jc w:val="left"/>
        <w:rPr>
          <w:rFonts w:cs="Arial"/>
          <w:b/>
          <w:bCs/>
        </w:rPr>
      </w:pPr>
    </w:p>
    <w:p w14:paraId="2A99F41F" w14:textId="6F370EB8" w:rsidR="00C42640" w:rsidRDefault="00C42640" w:rsidP="00D10794">
      <w:pPr>
        <w:autoSpaceDE/>
        <w:autoSpaceDN/>
        <w:adjustRightInd/>
        <w:spacing w:after="0"/>
        <w:jc w:val="left"/>
        <w:rPr>
          <w:rFonts w:cs="Arial"/>
          <w:b/>
          <w:bCs/>
        </w:rPr>
      </w:pPr>
    </w:p>
    <w:p w14:paraId="2E3C914C" w14:textId="649ECC2D" w:rsidR="00C42640" w:rsidRDefault="00C42640" w:rsidP="00D10794">
      <w:pPr>
        <w:autoSpaceDE/>
        <w:autoSpaceDN/>
        <w:adjustRightInd/>
        <w:spacing w:after="0"/>
        <w:jc w:val="left"/>
        <w:rPr>
          <w:rFonts w:cs="Arial"/>
          <w:b/>
          <w:bCs/>
        </w:rPr>
      </w:pPr>
    </w:p>
    <w:p w14:paraId="3B0BC3B3" w14:textId="4D5F6C57" w:rsidR="00C42640" w:rsidRDefault="00C42640" w:rsidP="00D10794">
      <w:pPr>
        <w:autoSpaceDE/>
        <w:autoSpaceDN/>
        <w:adjustRightInd/>
        <w:spacing w:after="0"/>
        <w:jc w:val="left"/>
        <w:rPr>
          <w:rFonts w:cs="Arial"/>
          <w:b/>
          <w:bCs/>
        </w:rPr>
      </w:pPr>
    </w:p>
    <w:p w14:paraId="60CC15ED" w14:textId="77777777" w:rsidR="00C42640" w:rsidRDefault="00C42640" w:rsidP="00D10794">
      <w:pPr>
        <w:autoSpaceDE/>
        <w:autoSpaceDN/>
        <w:adjustRightInd/>
        <w:spacing w:after="0"/>
        <w:jc w:val="left"/>
        <w:rPr>
          <w:rFonts w:cs="Arial"/>
          <w:b/>
          <w:bCs/>
        </w:rPr>
      </w:pPr>
    </w:p>
    <w:p w14:paraId="6AFD97FE" w14:textId="29AE4D9C" w:rsidR="00D10794" w:rsidRDefault="00D10794" w:rsidP="00D10794">
      <w:pPr>
        <w:autoSpaceDE/>
        <w:autoSpaceDN/>
        <w:adjustRightInd/>
        <w:spacing w:after="0"/>
        <w:jc w:val="left"/>
        <w:rPr>
          <w:rFonts w:cs="Arial"/>
          <w:b/>
          <w:bCs/>
        </w:rPr>
      </w:pPr>
    </w:p>
    <w:p w14:paraId="1EE4104C" w14:textId="2E51F70C" w:rsidR="00A87DE9" w:rsidRDefault="00A87DE9" w:rsidP="00D10794">
      <w:pPr>
        <w:autoSpaceDE/>
        <w:autoSpaceDN/>
        <w:adjustRightInd/>
        <w:spacing w:after="0"/>
        <w:jc w:val="left"/>
        <w:rPr>
          <w:rFonts w:cs="Arial"/>
          <w:b/>
          <w:bCs/>
        </w:rPr>
      </w:pPr>
    </w:p>
    <w:p w14:paraId="197F4D1F" w14:textId="43BE55DC" w:rsidR="00A87DE9" w:rsidRDefault="00A87DE9" w:rsidP="00D10794">
      <w:pPr>
        <w:autoSpaceDE/>
        <w:autoSpaceDN/>
        <w:adjustRightInd/>
        <w:spacing w:after="0"/>
        <w:jc w:val="left"/>
        <w:rPr>
          <w:rFonts w:cs="Arial"/>
          <w:b/>
          <w:bCs/>
        </w:rPr>
      </w:pPr>
    </w:p>
    <w:p w14:paraId="77F0AA37" w14:textId="77777777" w:rsidR="00A87DE9" w:rsidRDefault="00A87DE9" w:rsidP="00D10794">
      <w:pPr>
        <w:autoSpaceDE/>
        <w:autoSpaceDN/>
        <w:adjustRightInd/>
        <w:spacing w:after="0"/>
        <w:jc w:val="left"/>
        <w:rPr>
          <w:rFonts w:cs="Arial"/>
          <w:b/>
          <w:bCs/>
        </w:rPr>
      </w:pPr>
    </w:p>
    <w:p w14:paraId="1E936D93" w14:textId="77777777" w:rsidR="00D10794" w:rsidRPr="009D3C6D" w:rsidRDefault="00D10794" w:rsidP="00D10794">
      <w:pPr>
        <w:autoSpaceDE/>
        <w:autoSpaceDN/>
        <w:adjustRightInd/>
        <w:spacing w:after="0"/>
        <w:jc w:val="left"/>
        <w:rPr>
          <w:rFonts w:cs="Arial"/>
          <w:b/>
          <w:bCs/>
        </w:rPr>
      </w:pPr>
      <w:r w:rsidRPr="009D3C6D">
        <w:rPr>
          <w:rFonts w:cs="Arial"/>
          <w:b/>
          <w:bCs/>
        </w:rPr>
        <w:lastRenderedPageBreak/>
        <w:t xml:space="preserve">Section D – County Fund Balance, Reserves and Provisions </w:t>
      </w:r>
    </w:p>
    <w:p w14:paraId="18DF524F" w14:textId="77777777" w:rsidR="00D10794" w:rsidRPr="009D3C6D" w:rsidRDefault="00D10794" w:rsidP="00D10794">
      <w:pPr>
        <w:tabs>
          <w:tab w:val="left" w:pos="1447"/>
          <w:tab w:val="left" w:pos="1927"/>
        </w:tabs>
        <w:spacing w:after="0"/>
        <w:ind w:right="-46"/>
        <w:rPr>
          <w:rFonts w:cs="Arial"/>
          <w:b/>
          <w:bCs/>
        </w:rPr>
      </w:pPr>
    </w:p>
    <w:p w14:paraId="4A655320" w14:textId="5B067990" w:rsidR="00D10794" w:rsidRPr="009D3C6D" w:rsidRDefault="00D10794" w:rsidP="00D10794">
      <w:pPr>
        <w:tabs>
          <w:tab w:val="left" w:pos="851"/>
          <w:tab w:val="left" w:pos="1927"/>
        </w:tabs>
        <w:spacing w:after="0"/>
        <w:ind w:right="-46"/>
        <w:rPr>
          <w:rFonts w:cs="Arial"/>
          <w:b/>
          <w:bCs/>
        </w:rPr>
      </w:pPr>
      <w:r w:rsidRPr="009D3C6D">
        <w:rPr>
          <w:rFonts w:cs="Arial"/>
          <w:b/>
          <w:bCs/>
        </w:rPr>
        <w:t>Revenue Reserves as at 31</w:t>
      </w:r>
      <w:r w:rsidRPr="009D3C6D">
        <w:rPr>
          <w:rFonts w:cs="Arial"/>
          <w:b/>
          <w:bCs/>
          <w:vertAlign w:val="superscript"/>
        </w:rPr>
        <w:t>st</w:t>
      </w:r>
      <w:r w:rsidRPr="009D3C6D">
        <w:rPr>
          <w:rFonts w:cs="Arial"/>
          <w:b/>
          <w:bCs/>
        </w:rPr>
        <w:t xml:space="preserve"> March 2021</w:t>
      </w:r>
    </w:p>
    <w:p w14:paraId="2C32D5D5" w14:textId="77777777" w:rsidR="00D10794" w:rsidRPr="009D3C6D" w:rsidRDefault="00D10794" w:rsidP="00D10794">
      <w:pPr>
        <w:tabs>
          <w:tab w:val="left" w:pos="1447"/>
          <w:tab w:val="left" w:pos="1927"/>
        </w:tabs>
        <w:spacing w:after="0"/>
        <w:ind w:right="-46"/>
        <w:rPr>
          <w:rFonts w:cs="Arial"/>
          <w:b/>
          <w:bCs/>
        </w:rPr>
      </w:pPr>
    </w:p>
    <w:p w14:paraId="354212BD" w14:textId="1B9FE655" w:rsidR="00D10794" w:rsidRPr="009D3C6D" w:rsidRDefault="00D10794" w:rsidP="00D10794">
      <w:pPr>
        <w:tabs>
          <w:tab w:val="left" w:pos="1447"/>
          <w:tab w:val="left" w:pos="1927"/>
        </w:tabs>
        <w:spacing w:after="0"/>
        <w:ind w:right="-46"/>
        <w:rPr>
          <w:rFonts w:cs="Arial"/>
          <w:bCs/>
        </w:rPr>
      </w:pPr>
      <w:r w:rsidRPr="009D3C6D">
        <w:rPr>
          <w:rFonts w:cs="Arial"/>
          <w:bCs/>
        </w:rPr>
        <w:t xml:space="preserve">Table </w:t>
      </w:r>
      <w:r w:rsidR="00B12B6D">
        <w:rPr>
          <w:rFonts w:cs="Arial"/>
          <w:bCs/>
        </w:rPr>
        <w:t>4</w:t>
      </w:r>
      <w:r w:rsidRPr="009D3C6D">
        <w:rPr>
          <w:rFonts w:cs="Arial"/>
          <w:bCs/>
        </w:rPr>
        <w:t xml:space="preserve"> below shows the summary position for revenue reserves as at 31</w:t>
      </w:r>
      <w:r w:rsidRPr="009D3C6D">
        <w:rPr>
          <w:rFonts w:cs="Arial"/>
          <w:bCs/>
          <w:vertAlign w:val="superscript"/>
        </w:rPr>
        <w:t>st</w:t>
      </w:r>
      <w:r w:rsidRPr="009D3C6D">
        <w:rPr>
          <w:rFonts w:cs="Arial"/>
          <w:bCs/>
        </w:rPr>
        <w:t xml:space="preserve"> March 2021:</w:t>
      </w:r>
    </w:p>
    <w:p w14:paraId="42D5A5A4" w14:textId="77777777" w:rsidR="00D10794" w:rsidRPr="009D3C6D" w:rsidRDefault="00D10794" w:rsidP="00D10794">
      <w:pPr>
        <w:tabs>
          <w:tab w:val="left" w:pos="1447"/>
          <w:tab w:val="left" w:pos="1927"/>
        </w:tabs>
        <w:spacing w:after="0"/>
        <w:ind w:right="-46"/>
        <w:rPr>
          <w:rFonts w:cs="Arial"/>
          <w:bCs/>
        </w:rPr>
      </w:pPr>
    </w:p>
    <w:p w14:paraId="54FA45F9" w14:textId="1120DCEF" w:rsidR="00D10794" w:rsidRDefault="00D10794" w:rsidP="00D10794">
      <w:pPr>
        <w:spacing w:after="0"/>
        <w:rPr>
          <w:i/>
          <w:u w:val="single"/>
        </w:rPr>
      </w:pPr>
      <w:r w:rsidRPr="009D3C6D">
        <w:rPr>
          <w:i/>
          <w:u w:val="single"/>
        </w:rPr>
        <w:t xml:space="preserve">Table </w:t>
      </w:r>
      <w:r w:rsidR="00B12B6D">
        <w:rPr>
          <w:i/>
          <w:u w:val="single"/>
        </w:rPr>
        <w:t>4</w:t>
      </w:r>
    </w:p>
    <w:p w14:paraId="205B4E7B" w14:textId="77777777" w:rsidR="00D10794" w:rsidRDefault="00D10794" w:rsidP="00D10794">
      <w:pPr>
        <w:spacing w:after="0"/>
        <w:rPr>
          <w:i/>
          <w:u w:val="single"/>
        </w:rPr>
      </w:pPr>
    </w:p>
    <w:tbl>
      <w:tblPr>
        <w:tblW w:w="9534" w:type="dxa"/>
        <w:tblLayout w:type="fixed"/>
        <w:tblLook w:val="04A0" w:firstRow="1" w:lastRow="0" w:firstColumn="1" w:lastColumn="0" w:noHBand="0" w:noVBand="1"/>
      </w:tblPr>
      <w:tblGrid>
        <w:gridCol w:w="1833"/>
        <w:gridCol w:w="1100"/>
        <w:gridCol w:w="1100"/>
        <w:gridCol w:w="1100"/>
        <w:gridCol w:w="1100"/>
        <w:gridCol w:w="1100"/>
        <w:gridCol w:w="1100"/>
        <w:gridCol w:w="1101"/>
      </w:tblGrid>
      <w:tr w:rsidR="002F12B1" w14:paraId="7990B9DB" w14:textId="77777777" w:rsidTr="00D10794">
        <w:trPr>
          <w:trHeight w:val="1556"/>
        </w:trPr>
        <w:tc>
          <w:tcPr>
            <w:tcW w:w="1833"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9DE832C" w14:textId="77777777" w:rsidR="00D10794" w:rsidRPr="009D3C6D" w:rsidRDefault="00D10794" w:rsidP="00D10794">
            <w:pPr>
              <w:autoSpaceDE/>
              <w:autoSpaceDN/>
              <w:adjustRightInd/>
              <w:spacing w:after="0"/>
              <w:jc w:val="center"/>
              <w:rPr>
                <w:rFonts w:eastAsia="Times New Roman" w:cs="Arial"/>
                <w:b/>
                <w:bCs/>
                <w:sz w:val="18"/>
                <w:szCs w:val="18"/>
                <w:lang w:eastAsia="en-GB"/>
              </w:rPr>
            </w:pPr>
            <w:r w:rsidRPr="009D3C6D">
              <w:rPr>
                <w:rFonts w:eastAsia="Times New Roman" w:cs="Arial"/>
                <w:b/>
                <w:bCs/>
                <w:sz w:val="18"/>
                <w:szCs w:val="18"/>
                <w:lang w:eastAsia="en-GB"/>
              </w:rPr>
              <w:t>Reserve Name</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185B1B8F"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Opening balance 2020/21</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7A3CF7FD"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 xml:space="preserve"> 2020/21 Expenditure</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1002AA36"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2020/21 transfers to/from other reserves</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5148927D"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2020/21 Closing Balance</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68289A14"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2021-22 Forecast Exp</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14:paraId="78ABD4D8"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2022-23 Forecast Exp</w:t>
            </w:r>
          </w:p>
        </w:tc>
        <w:tc>
          <w:tcPr>
            <w:tcW w:w="1101" w:type="dxa"/>
            <w:tcBorders>
              <w:top w:val="single" w:sz="8" w:space="0" w:color="auto"/>
              <w:left w:val="nil"/>
              <w:bottom w:val="single" w:sz="4" w:space="0" w:color="auto"/>
              <w:right w:val="single" w:sz="8" w:space="0" w:color="auto"/>
            </w:tcBorders>
            <w:shd w:val="clear" w:color="000000" w:fill="BFBFBF"/>
            <w:vAlign w:val="center"/>
            <w:hideMark/>
          </w:tcPr>
          <w:p w14:paraId="73114BAA"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Forecast closing balance 31 March 2023</w:t>
            </w:r>
          </w:p>
        </w:tc>
      </w:tr>
      <w:tr w:rsidR="002F12B1" w14:paraId="7A66DD37" w14:textId="77777777" w:rsidTr="00D10794">
        <w:trPr>
          <w:trHeight w:val="251"/>
        </w:trPr>
        <w:tc>
          <w:tcPr>
            <w:tcW w:w="1833" w:type="dxa"/>
            <w:tcBorders>
              <w:top w:val="nil"/>
              <w:left w:val="single" w:sz="8" w:space="0" w:color="auto"/>
              <w:bottom w:val="single" w:sz="4" w:space="0" w:color="auto"/>
              <w:right w:val="single" w:sz="4" w:space="0" w:color="auto"/>
            </w:tcBorders>
            <w:shd w:val="clear" w:color="000000" w:fill="BFBFBF"/>
            <w:vAlign w:val="bottom"/>
            <w:hideMark/>
          </w:tcPr>
          <w:p w14:paraId="40370590"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 </w:t>
            </w:r>
          </w:p>
        </w:tc>
        <w:tc>
          <w:tcPr>
            <w:tcW w:w="1100" w:type="dxa"/>
            <w:tcBorders>
              <w:top w:val="nil"/>
              <w:left w:val="nil"/>
              <w:bottom w:val="single" w:sz="4" w:space="0" w:color="auto"/>
              <w:right w:val="single" w:sz="4" w:space="0" w:color="auto"/>
            </w:tcBorders>
            <w:shd w:val="clear" w:color="000000" w:fill="BFBFBF"/>
            <w:noWrap/>
            <w:vAlign w:val="bottom"/>
            <w:hideMark/>
          </w:tcPr>
          <w:p w14:paraId="19DD3AA9"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center"/>
            <w:hideMark/>
          </w:tcPr>
          <w:p w14:paraId="57201499"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center"/>
            <w:hideMark/>
          </w:tcPr>
          <w:p w14:paraId="04C31C0F"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bottom"/>
            <w:hideMark/>
          </w:tcPr>
          <w:p w14:paraId="4C182332"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bottom"/>
            <w:hideMark/>
          </w:tcPr>
          <w:p w14:paraId="550B1466"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bottom"/>
            <w:hideMark/>
          </w:tcPr>
          <w:p w14:paraId="251A61BA"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c>
          <w:tcPr>
            <w:tcW w:w="1101" w:type="dxa"/>
            <w:tcBorders>
              <w:top w:val="nil"/>
              <w:left w:val="nil"/>
              <w:bottom w:val="single" w:sz="4" w:space="0" w:color="auto"/>
              <w:right w:val="single" w:sz="8" w:space="0" w:color="auto"/>
            </w:tcBorders>
            <w:shd w:val="clear" w:color="000000" w:fill="BFBFBF"/>
            <w:noWrap/>
            <w:vAlign w:val="bottom"/>
            <w:hideMark/>
          </w:tcPr>
          <w:p w14:paraId="0023D9CA"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£m</w:t>
            </w:r>
          </w:p>
        </w:tc>
      </w:tr>
      <w:tr w:rsidR="002F12B1" w14:paraId="721CDE8D"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57418815"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County Fund</w:t>
            </w:r>
          </w:p>
        </w:tc>
        <w:tc>
          <w:tcPr>
            <w:tcW w:w="1100" w:type="dxa"/>
            <w:tcBorders>
              <w:top w:val="nil"/>
              <w:left w:val="nil"/>
              <w:bottom w:val="single" w:sz="4" w:space="0" w:color="auto"/>
              <w:right w:val="single" w:sz="4" w:space="0" w:color="auto"/>
            </w:tcBorders>
            <w:shd w:val="clear" w:color="auto" w:fill="auto"/>
            <w:noWrap/>
            <w:vAlign w:val="center"/>
            <w:hideMark/>
          </w:tcPr>
          <w:p w14:paraId="080E74A9"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-23.437</w:t>
            </w:r>
          </w:p>
        </w:tc>
        <w:tc>
          <w:tcPr>
            <w:tcW w:w="1100" w:type="dxa"/>
            <w:tcBorders>
              <w:top w:val="nil"/>
              <w:left w:val="nil"/>
              <w:bottom w:val="single" w:sz="4" w:space="0" w:color="auto"/>
              <w:right w:val="single" w:sz="4" w:space="0" w:color="auto"/>
            </w:tcBorders>
            <w:shd w:val="clear" w:color="auto" w:fill="auto"/>
            <w:noWrap/>
            <w:vAlign w:val="center"/>
            <w:hideMark/>
          </w:tcPr>
          <w:p w14:paraId="2D9E218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26782ED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6BAA24A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-23.437</w:t>
            </w:r>
          </w:p>
        </w:tc>
        <w:tc>
          <w:tcPr>
            <w:tcW w:w="1100" w:type="dxa"/>
            <w:tcBorders>
              <w:top w:val="nil"/>
              <w:left w:val="nil"/>
              <w:bottom w:val="single" w:sz="4" w:space="0" w:color="auto"/>
              <w:right w:val="single" w:sz="4" w:space="0" w:color="auto"/>
            </w:tcBorders>
            <w:shd w:val="clear" w:color="auto" w:fill="auto"/>
            <w:noWrap/>
            <w:vAlign w:val="center"/>
            <w:hideMark/>
          </w:tcPr>
          <w:p w14:paraId="794C209B"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788BDEB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1" w:type="dxa"/>
            <w:tcBorders>
              <w:top w:val="nil"/>
              <w:left w:val="nil"/>
              <w:bottom w:val="single" w:sz="4" w:space="0" w:color="auto"/>
              <w:right w:val="single" w:sz="8" w:space="0" w:color="auto"/>
            </w:tcBorders>
            <w:shd w:val="clear" w:color="000000" w:fill="BFBFBF"/>
            <w:noWrap/>
            <w:vAlign w:val="center"/>
            <w:hideMark/>
          </w:tcPr>
          <w:p w14:paraId="28EB9E19"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-23.437</w:t>
            </w:r>
          </w:p>
        </w:tc>
      </w:tr>
      <w:tr w:rsidR="002F12B1" w14:paraId="61FD3A61" w14:textId="77777777" w:rsidTr="00D10794">
        <w:trPr>
          <w:trHeight w:val="634"/>
        </w:trPr>
        <w:tc>
          <w:tcPr>
            <w:tcW w:w="1833" w:type="dxa"/>
            <w:tcBorders>
              <w:top w:val="nil"/>
              <w:left w:val="single" w:sz="8" w:space="0" w:color="auto"/>
              <w:bottom w:val="single" w:sz="8" w:space="0" w:color="auto"/>
              <w:right w:val="single" w:sz="4" w:space="0" w:color="auto"/>
            </w:tcBorders>
            <w:shd w:val="clear" w:color="000000" w:fill="BFBFBF"/>
            <w:vAlign w:val="center"/>
            <w:hideMark/>
          </w:tcPr>
          <w:p w14:paraId="5892AD46" w14:textId="77777777" w:rsidR="00D10794" w:rsidRPr="009D3C6D" w:rsidRDefault="00D10794" w:rsidP="00D10794">
            <w:pPr>
              <w:autoSpaceDE/>
              <w:autoSpaceDN/>
              <w:adjustRightInd/>
              <w:spacing w:after="0"/>
              <w:jc w:val="left"/>
              <w:rPr>
                <w:rFonts w:eastAsia="Times New Roman" w:cs="Arial"/>
                <w:b/>
                <w:bCs/>
                <w:sz w:val="16"/>
                <w:szCs w:val="16"/>
                <w:lang w:eastAsia="en-GB"/>
              </w:rPr>
            </w:pPr>
            <w:r w:rsidRPr="009D3C6D">
              <w:rPr>
                <w:rFonts w:eastAsia="Times New Roman" w:cs="Arial"/>
                <w:b/>
                <w:bCs/>
                <w:sz w:val="16"/>
                <w:szCs w:val="16"/>
                <w:lang w:eastAsia="en-GB"/>
              </w:rPr>
              <w:t>SUB TOTAL - COUNTY FUND</w:t>
            </w:r>
          </w:p>
        </w:tc>
        <w:tc>
          <w:tcPr>
            <w:tcW w:w="1100" w:type="dxa"/>
            <w:tcBorders>
              <w:top w:val="nil"/>
              <w:left w:val="nil"/>
              <w:bottom w:val="single" w:sz="8" w:space="0" w:color="auto"/>
              <w:right w:val="single" w:sz="4" w:space="0" w:color="auto"/>
            </w:tcBorders>
            <w:shd w:val="clear" w:color="000000" w:fill="BFBFBF"/>
            <w:noWrap/>
            <w:vAlign w:val="center"/>
            <w:hideMark/>
          </w:tcPr>
          <w:p w14:paraId="0E0E3F8F"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-23.437</w:t>
            </w:r>
          </w:p>
        </w:tc>
        <w:tc>
          <w:tcPr>
            <w:tcW w:w="1100" w:type="dxa"/>
            <w:tcBorders>
              <w:top w:val="nil"/>
              <w:left w:val="nil"/>
              <w:bottom w:val="single" w:sz="8" w:space="0" w:color="auto"/>
              <w:right w:val="single" w:sz="4" w:space="0" w:color="auto"/>
            </w:tcBorders>
            <w:shd w:val="clear" w:color="000000" w:fill="BFBFBF"/>
            <w:noWrap/>
            <w:vAlign w:val="center"/>
            <w:hideMark/>
          </w:tcPr>
          <w:p w14:paraId="53A8FE5B"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0.000</w:t>
            </w:r>
          </w:p>
        </w:tc>
        <w:tc>
          <w:tcPr>
            <w:tcW w:w="1100" w:type="dxa"/>
            <w:tcBorders>
              <w:top w:val="nil"/>
              <w:left w:val="nil"/>
              <w:bottom w:val="single" w:sz="8" w:space="0" w:color="auto"/>
              <w:right w:val="single" w:sz="4" w:space="0" w:color="auto"/>
            </w:tcBorders>
            <w:shd w:val="clear" w:color="000000" w:fill="BFBFBF"/>
            <w:noWrap/>
            <w:vAlign w:val="center"/>
            <w:hideMark/>
          </w:tcPr>
          <w:p w14:paraId="1532C5BF"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0.000</w:t>
            </w:r>
          </w:p>
        </w:tc>
        <w:tc>
          <w:tcPr>
            <w:tcW w:w="1100" w:type="dxa"/>
            <w:tcBorders>
              <w:top w:val="nil"/>
              <w:left w:val="nil"/>
              <w:bottom w:val="single" w:sz="8" w:space="0" w:color="auto"/>
              <w:right w:val="single" w:sz="4" w:space="0" w:color="auto"/>
            </w:tcBorders>
            <w:shd w:val="clear" w:color="000000" w:fill="BFBFBF"/>
            <w:noWrap/>
            <w:vAlign w:val="center"/>
            <w:hideMark/>
          </w:tcPr>
          <w:p w14:paraId="57D8FE50"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-23.437</w:t>
            </w:r>
          </w:p>
        </w:tc>
        <w:tc>
          <w:tcPr>
            <w:tcW w:w="1100" w:type="dxa"/>
            <w:tcBorders>
              <w:top w:val="nil"/>
              <w:left w:val="nil"/>
              <w:bottom w:val="single" w:sz="8" w:space="0" w:color="auto"/>
              <w:right w:val="single" w:sz="4" w:space="0" w:color="auto"/>
            </w:tcBorders>
            <w:shd w:val="clear" w:color="000000" w:fill="BFBFBF"/>
            <w:noWrap/>
            <w:vAlign w:val="center"/>
            <w:hideMark/>
          </w:tcPr>
          <w:p w14:paraId="3AA1194E"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0.000</w:t>
            </w:r>
          </w:p>
        </w:tc>
        <w:tc>
          <w:tcPr>
            <w:tcW w:w="1100" w:type="dxa"/>
            <w:tcBorders>
              <w:top w:val="nil"/>
              <w:left w:val="nil"/>
              <w:bottom w:val="single" w:sz="8" w:space="0" w:color="auto"/>
              <w:right w:val="single" w:sz="4" w:space="0" w:color="auto"/>
            </w:tcBorders>
            <w:shd w:val="clear" w:color="000000" w:fill="BFBFBF"/>
            <w:noWrap/>
            <w:vAlign w:val="center"/>
            <w:hideMark/>
          </w:tcPr>
          <w:p w14:paraId="5154A1CC"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0.000</w:t>
            </w:r>
          </w:p>
        </w:tc>
        <w:tc>
          <w:tcPr>
            <w:tcW w:w="1101" w:type="dxa"/>
            <w:tcBorders>
              <w:top w:val="nil"/>
              <w:left w:val="nil"/>
              <w:bottom w:val="single" w:sz="8" w:space="0" w:color="auto"/>
              <w:right w:val="single" w:sz="8" w:space="0" w:color="auto"/>
            </w:tcBorders>
            <w:shd w:val="clear" w:color="000000" w:fill="BFBFBF"/>
            <w:noWrap/>
            <w:vAlign w:val="center"/>
            <w:hideMark/>
          </w:tcPr>
          <w:p w14:paraId="36CFEE7E"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-23.437</w:t>
            </w:r>
          </w:p>
        </w:tc>
      </w:tr>
      <w:tr w:rsidR="002F12B1" w14:paraId="0C2839F6"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4AB57693"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Strategic Investment Reserve</w:t>
            </w:r>
          </w:p>
        </w:tc>
        <w:tc>
          <w:tcPr>
            <w:tcW w:w="1100" w:type="dxa"/>
            <w:tcBorders>
              <w:top w:val="nil"/>
              <w:left w:val="nil"/>
              <w:bottom w:val="single" w:sz="4" w:space="0" w:color="auto"/>
              <w:right w:val="single" w:sz="4" w:space="0" w:color="auto"/>
            </w:tcBorders>
            <w:shd w:val="clear" w:color="auto" w:fill="auto"/>
            <w:noWrap/>
            <w:vAlign w:val="center"/>
            <w:hideMark/>
          </w:tcPr>
          <w:p w14:paraId="2E92CF5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-5.819</w:t>
            </w:r>
          </w:p>
        </w:tc>
        <w:tc>
          <w:tcPr>
            <w:tcW w:w="1100" w:type="dxa"/>
            <w:tcBorders>
              <w:top w:val="nil"/>
              <w:left w:val="nil"/>
              <w:bottom w:val="single" w:sz="4" w:space="0" w:color="auto"/>
              <w:right w:val="single" w:sz="4" w:space="0" w:color="auto"/>
            </w:tcBorders>
            <w:shd w:val="clear" w:color="auto" w:fill="auto"/>
            <w:noWrap/>
            <w:vAlign w:val="center"/>
            <w:hideMark/>
          </w:tcPr>
          <w:p w14:paraId="5129836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-0.970</w:t>
            </w:r>
          </w:p>
        </w:tc>
        <w:tc>
          <w:tcPr>
            <w:tcW w:w="1100" w:type="dxa"/>
            <w:tcBorders>
              <w:top w:val="nil"/>
              <w:left w:val="nil"/>
              <w:bottom w:val="single" w:sz="4" w:space="0" w:color="auto"/>
              <w:right w:val="single" w:sz="4" w:space="0" w:color="auto"/>
            </w:tcBorders>
            <w:shd w:val="clear" w:color="auto" w:fill="auto"/>
            <w:noWrap/>
            <w:vAlign w:val="center"/>
            <w:hideMark/>
          </w:tcPr>
          <w:p w14:paraId="40A2690C"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1.979</w:t>
            </w:r>
          </w:p>
        </w:tc>
        <w:tc>
          <w:tcPr>
            <w:tcW w:w="1100" w:type="dxa"/>
            <w:tcBorders>
              <w:top w:val="single" w:sz="4" w:space="0" w:color="auto"/>
              <w:left w:val="nil"/>
              <w:bottom w:val="single" w:sz="4" w:space="0" w:color="auto"/>
              <w:right w:val="single" w:sz="4" w:space="0" w:color="auto"/>
            </w:tcBorders>
            <w:shd w:val="clear" w:color="000000" w:fill="BFBFBF"/>
            <w:noWrap/>
            <w:vAlign w:val="center"/>
            <w:hideMark/>
          </w:tcPr>
          <w:p w14:paraId="31A4C368"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-4.810</w:t>
            </w:r>
          </w:p>
        </w:tc>
        <w:tc>
          <w:tcPr>
            <w:tcW w:w="1100" w:type="dxa"/>
            <w:tcBorders>
              <w:top w:val="nil"/>
              <w:left w:val="nil"/>
              <w:bottom w:val="single" w:sz="4" w:space="0" w:color="auto"/>
              <w:right w:val="single" w:sz="4" w:space="0" w:color="auto"/>
            </w:tcBorders>
            <w:shd w:val="clear" w:color="auto" w:fill="auto"/>
            <w:noWrap/>
            <w:vAlign w:val="center"/>
            <w:hideMark/>
          </w:tcPr>
          <w:p w14:paraId="18E942A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3.810</w:t>
            </w:r>
          </w:p>
        </w:tc>
        <w:tc>
          <w:tcPr>
            <w:tcW w:w="1100" w:type="dxa"/>
            <w:tcBorders>
              <w:top w:val="nil"/>
              <w:left w:val="nil"/>
              <w:bottom w:val="single" w:sz="4" w:space="0" w:color="auto"/>
              <w:right w:val="single" w:sz="4" w:space="0" w:color="auto"/>
            </w:tcBorders>
            <w:shd w:val="clear" w:color="auto" w:fill="auto"/>
            <w:noWrap/>
            <w:vAlign w:val="center"/>
            <w:hideMark/>
          </w:tcPr>
          <w:p w14:paraId="47AEBA4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1" w:type="dxa"/>
            <w:tcBorders>
              <w:top w:val="nil"/>
              <w:left w:val="nil"/>
              <w:bottom w:val="single" w:sz="4" w:space="0" w:color="auto"/>
              <w:right w:val="single" w:sz="8" w:space="0" w:color="auto"/>
            </w:tcBorders>
            <w:shd w:val="clear" w:color="000000" w:fill="BFBFBF"/>
            <w:noWrap/>
            <w:vAlign w:val="center"/>
            <w:hideMark/>
          </w:tcPr>
          <w:p w14:paraId="152D768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-1.000</w:t>
            </w:r>
          </w:p>
        </w:tc>
      </w:tr>
      <w:tr w:rsidR="002F12B1" w14:paraId="219E97E0"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7E4458F2"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COVID-19 Reserve</w:t>
            </w:r>
          </w:p>
        </w:tc>
        <w:tc>
          <w:tcPr>
            <w:tcW w:w="1100" w:type="dxa"/>
            <w:tcBorders>
              <w:top w:val="nil"/>
              <w:left w:val="nil"/>
              <w:bottom w:val="single" w:sz="4" w:space="0" w:color="auto"/>
              <w:right w:val="single" w:sz="4" w:space="0" w:color="auto"/>
            </w:tcBorders>
            <w:shd w:val="clear" w:color="auto" w:fill="auto"/>
            <w:noWrap/>
            <w:vAlign w:val="center"/>
            <w:hideMark/>
          </w:tcPr>
          <w:p w14:paraId="1F15402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-33.961</w:t>
            </w:r>
          </w:p>
        </w:tc>
        <w:tc>
          <w:tcPr>
            <w:tcW w:w="1100" w:type="dxa"/>
            <w:tcBorders>
              <w:top w:val="nil"/>
              <w:left w:val="nil"/>
              <w:bottom w:val="single" w:sz="4" w:space="0" w:color="auto"/>
              <w:right w:val="single" w:sz="4" w:space="0" w:color="auto"/>
            </w:tcBorders>
            <w:shd w:val="clear" w:color="auto" w:fill="auto"/>
            <w:noWrap/>
            <w:vAlign w:val="center"/>
            <w:hideMark/>
          </w:tcPr>
          <w:p w14:paraId="0D4B55A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22.047</w:t>
            </w:r>
          </w:p>
        </w:tc>
        <w:tc>
          <w:tcPr>
            <w:tcW w:w="1100" w:type="dxa"/>
            <w:tcBorders>
              <w:top w:val="nil"/>
              <w:left w:val="nil"/>
              <w:bottom w:val="single" w:sz="4" w:space="0" w:color="auto"/>
              <w:right w:val="single" w:sz="4" w:space="0" w:color="auto"/>
            </w:tcBorders>
            <w:shd w:val="clear" w:color="auto" w:fill="auto"/>
            <w:noWrap/>
            <w:vAlign w:val="center"/>
            <w:hideMark/>
          </w:tcPr>
          <w:p w14:paraId="1E221C6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000000" w:fill="BFBFBF"/>
            <w:noWrap/>
            <w:vAlign w:val="center"/>
            <w:hideMark/>
          </w:tcPr>
          <w:p w14:paraId="1DA82D0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-11.914</w:t>
            </w:r>
          </w:p>
        </w:tc>
        <w:tc>
          <w:tcPr>
            <w:tcW w:w="1100" w:type="dxa"/>
            <w:tcBorders>
              <w:top w:val="nil"/>
              <w:left w:val="nil"/>
              <w:bottom w:val="single" w:sz="4" w:space="0" w:color="auto"/>
              <w:right w:val="single" w:sz="4" w:space="0" w:color="auto"/>
            </w:tcBorders>
            <w:shd w:val="clear" w:color="auto" w:fill="auto"/>
            <w:noWrap/>
            <w:vAlign w:val="center"/>
            <w:hideMark/>
          </w:tcPr>
          <w:p w14:paraId="57D4335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11.446</w:t>
            </w:r>
          </w:p>
        </w:tc>
        <w:tc>
          <w:tcPr>
            <w:tcW w:w="1100" w:type="dxa"/>
            <w:tcBorders>
              <w:top w:val="nil"/>
              <w:left w:val="nil"/>
              <w:bottom w:val="single" w:sz="4" w:space="0" w:color="auto"/>
              <w:right w:val="single" w:sz="4" w:space="0" w:color="auto"/>
            </w:tcBorders>
            <w:shd w:val="clear" w:color="auto" w:fill="auto"/>
            <w:noWrap/>
            <w:vAlign w:val="center"/>
            <w:hideMark/>
          </w:tcPr>
          <w:p w14:paraId="02C19919"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0.347</w:t>
            </w:r>
          </w:p>
        </w:tc>
        <w:tc>
          <w:tcPr>
            <w:tcW w:w="1101" w:type="dxa"/>
            <w:tcBorders>
              <w:top w:val="nil"/>
              <w:left w:val="nil"/>
              <w:bottom w:val="single" w:sz="4" w:space="0" w:color="auto"/>
              <w:right w:val="single" w:sz="8" w:space="0" w:color="auto"/>
            </w:tcBorders>
            <w:shd w:val="clear" w:color="000000" w:fill="BFBFBF"/>
            <w:noWrap/>
            <w:vAlign w:val="center"/>
            <w:hideMark/>
          </w:tcPr>
          <w:p w14:paraId="581B126C"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-0.121</w:t>
            </w:r>
          </w:p>
        </w:tc>
      </w:tr>
      <w:tr w:rsidR="002F12B1" w14:paraId="11B16239"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5C35204D"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Downsizing Reserve</w:t>
            </w:r>
          </w:p>
        </w:tc>
        <w:tc>
          <w:tcPr>
            <w:tcW w:w="1100" w:type="dxa"/>
            <w:tcBorders>
              <w:top w:val="nil"/>
              <w:left w:val="nil"/>
              <w:bottom w:val="single" w:sz="4" w:space="0" w:color="auto"/>
              <w:right w:val="single" w:sz="4" w:space="0" w:color="auto"/>
            </w:tcBorders>
            <w:shd w:val="clear" w:color="auto" w:fill="auto"/>
            <w:noWrap/>
            <w:vAlign w:val="center"/>
            <w:hideMark/>
          </w:tcPr>
          <w:p w14:paraId="7D24FF1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-5.642</w:t>
            </w:r>
          </w:p>
        </w:tc>
        <w:tc>
          <w:tcPr>
            <w:tcW w:w="1100" w:type="dxa"/>
            <w:tcBorders>
              <w:top w:val="nil"/>
              <w:left w:val="nil"/>
              <w:bottom w:val="single" w:sz="4" w:space="0" w:color="auto"/>
              <w:right w:val="single" w:sz="4" w:space="0" w:color="auto"/>
            </w:tcBorders>
            <w:shd w:val="clear" w:color="auto" w:fill="auto"/>
            <w:noWrap/>
            <w:vAlign w:val="center"/>
            <w:hideMark/>
          </w:tcPr>
          <w:p w14:paraId="0F5AFC6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30910C2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000000" w:fill="BFBFBF"/>
            <w:noWrap/>
            <w:vAlign w:val="center"/>
            <w:hideMark/>
          </w:tcPr>
          <w:p w14:paraId="478BF1C2"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-5.642</w:t>
            </w:r>
          </w:p>
        </w:tc>
        <w:tc>
          <w:tcPr>
            <w:tcW w:w="1100" w:type="dxa"/>
            <w:tcBorders>
              <w:top w:val="nil"/>
              <w:left w:val="nil"/>
              <w:bottom w:val="single" w:sz="4" w:space="0" w:color="auto"/>
              <w:right w:val="single" w:sz="4" w:space="0" w:color="auto"/>
            </w:tcBorders>
            <w:shd w:val="clear" w:color="auto" w:fill="auto"/>
            <w:noWrap/>
            <w:vAlign w:val="center"/>
            <w:hideMark/>
          </w:tcPr>
          <w:p w14:paraId="5EC6852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2.821</w:t>
            </w:r>
          </w:p>
        </w:tc>
        <w:tc>
          <w:tcPr>
            <w:tcW w:w="1100" w:type="dxa"/>
            <w:tcBorders>
              <w:top w:val="nil"/>
              <w:left w:val="nil"/>
              <w:bottom w:val="single" w:sz="4" w:space="0" w:color="auto"/>
              <w:right w:val="single" w:sz="4" w:space="0" w:color="auto"/>
            </w:tcBorders>
            <w:shd w:val="clear" w:color="auto" w:fill="auto"/>
            <w:noWrap/>
            <w:vAlign w:val="center"/>
            <w:hideMark/>
          </w:tcPr>
          <w:p w14:paraId="00EF15AB"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2.821</w:t>
            </w:r>
          </w:p>
        </w:tc>
        <w:tc>
          <w:tcPr>
            <w:tcW w:w="1101" w:type="dxa"/>
            <w:tcBorders>
              <w:top w:val="nil"/>
              <w:left w:val="nil"/>
              <w:bottom w:val="single" w:sz="4" w:space="0" w:color="auto"/>
              <w:right w:val="single" w:sz="8" w:space="0" w:color="auto"/>
            </w:tcBorders>
            <w:shd w:val="clear" w:color="000000" w:fill="BFBFBF"/>
            <w:noWrap/>
            <w:vAlign w:val="center"/>
            <w:hideMark/>
          </w:tcPr>
          <w:p w14:paraId="6F1EF532"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r>
      <w:tr w:rsidR="002F12B1" w14:paraId="4F8FA9B8"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5D11E8AA"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 xml:space="preserve">Risk Management Reserve </w:t>
            </w:r>
          </w:p>
        </w:tc>
        <w:tc>
          <w:tcPr>
            <w:tcW w:w="1100" w:type="dxa"/>
            <w:tcBorders>
              <w:top w:val="nil"/>
              <w:left w:val="nil"/>
              <w:bottom w:val="single" w:sz="4" w:space="0" w:color="auto"/>
              <w:right w:val="single" w:sz="4" w:space="0" w:color="auto"/>
            </w:tcBorders>
            <w:shd w:val="clear" w:color="auto" w:fill="auto"/>
            <w:noWrap/>
            <w:vAlign w:val="center"/>
            <w:hideMark/>
          </w:tcPr>
          <w:p w14:paraId="1317B84C"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-1.935</w:t>
            </w:r>
          </w:p>
        </w:tc>
        <w:tc>
          <w:tcPr>
            <w:tcW w:w="1100" w:type="dxa"/>
            <w:tcBorders>
              <w:top w:val="nil"/>
              <w:left w:val="nil"/>
              <w:bottom w:val="single" w:sz="4" w:space="0" w:color="auto"/>
              <w:right w:val="single" w:sz="4" w:space="0" w:color="auto"/>
            </w:tcBorders>
            <w:shd w:val="clear" w:color="auto" w:fill="auto"/>
            <w:noWrap/>
            <w:vAlign w:val="center"/>
            <w:hideMark/>
          </w:tcPr>
          <w:p w14:paraId="1005FCB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-4.355</w:t>
            </w:r>
          </w:p>
        </w:tc>
        <w:tc>
          <w:tcPr>
            <w:tcW w:w="1100" w:type="dxa"/>
            <w:tcBorders>
              <w:top w:val="nil"/>
              <w:left w:val="nil"/>
              <w:bottom w:val="single" w:sz="4" w:space="0" w:color="auto"/>
              <w:right w:val="single" w:sz="4" w:space="0" w:color="auto"/>
            </w:tcBorders>
            <w:shd w:val="clear" w:color="auto" w:fill="auto"/>
            <w:noWrap/>
            <w:vAlign w:val="center"/>
            <w:hideMark/>
          </w:tcPr>
          <w:p w14:paraId="50BD192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000000" w:fill="BFBFBF"/>
            <w:noWrap/>
            <w:vAlign w:val="center"/>
            <w:hideMark/>
          </w:tcPr>
          <w:p w14:paraId="0179CB4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-6.290</w:t>
            </w:r>
          </w:p>
        </w:tc>
        <w:tc>
          <w:tcPr>
            <w:tcW w:w="1100" w:type="dxa"/>
            <w:tcBorders>
              <w:top w:val="nil"/>
              <w:left w:val="nil"/>
              <w:bottom w:val="single" w:sz="4" w:space="0" w:color="auto"/>
              <w:right w:val="single" w:sz="4" w:space="0" w:color="auto"/>
            </w:tcBorders>
            <w:shd w:val="clear" w:color="auto" w:fill="auto"/>
            <w:noWrap/>
            <w:vAlign w:val="center"/>
            <w:hideMark/>
          </w:tcPr>
          <w:p w14:paraId="38771BEF"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5.231</w:t>
            </w:r>
          </w:p>
        </w:tc>
        <w:tc>
          <w:tcPr>
            <w:tcW w:w="1100" w:type="dxa"/>
            <w:tcBorders>
              <w:top w:val="nil"/>
              <w:left w:val="nil"/>
              <w:bottom w:val="single" w:sz="4" w:space="0" w:color="auto"/>
              <w:right w:val="single" w:sz="4" w:space="0" w:color="auto"/>
            </w:tcBorders>
            <w:shd w:val="clear" w:color="auto" w:fill="auto"/>
            <w:noWrap/>
            <w:vAlign w:val="center"/>
            <w:hideMark/>
          </w:tcPr>
          <w:p w14:paraId="4C7776D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1.059</w:t>
            </w:r>
          </w:p>
        </w:tc>
        <w:tc>
          <w:tcPr>
            <w:tcW w:w="1101" w:type="dxa"/>
            <w:tcBorders>
              <w:top w:val="nil"/>
              <w:left w:val="nil"/>
              <w:bottom w:val="single" w:sz="4" w:space="0" w:color="auto"/>
              <w:right w:val="single" w:sz="8" w:space="0" w:color="auto"/>
            </w:tcBorders>
            <w:shd w:val="clear" w:color="000000" w:fill="BFBFBF"/>
            <w:noWrap/>
            <w:vAlign w:val="center"/>
            <w:hideMark/>
          </w:tcPr>
          <w:p w14:paraId="1E1610CF"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r>
      <w:tr w:rsidR="002F12B1" w14:paraId="48BCBA75"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556ECD7C"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Transitional Reserve</w:t>
            </w:r>
          </w:p>
        </w:tc>
        <w:tc>
          <w:tcPr>
            <w:tcW w:w="1100" w:type="dxa"/>
            <w:tcBorders>
              <w:top w:val="nil"/>
              <w:left w:val="nil"/>
              <w:bottom w:val="single" w:sz="4" w:space="0" w:color="auto"/>
              <w:right w:val="single" w:sz="4" w:space="0" w:color="auto"/>
            </w:tcBorders>
            <w:shd w:val="clear" w:color="auto" w:fill="auto"/>
            <w:noWrap/>
            <w:vAlign w:val="center"/>
            <w:hideMark/>
          </w:tcPr>
          <w:p w14:paraId="16CDFF7E"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-151.199</w:t>
            </w:r>
          </w:p>
        </w:tc>
        <w:tc>
          <w:tcPr>
            <w:tcW w:w="1100" w:type="dxa"/>
            <w:tcBorders>
              <w:top w:val="nil"/>
              <w:left w:val="nil"/>
              <w:bottom w:val="single" w:sz="4" w:space="0" w:color="auto"/>
              <w:right w:val="single" w:sz="4" w:space="0" w:color="auto"/>
            </w:tcBorders>
            <w:shd w:val="clear" w:color="auto" w:fill="auto"/>
            <w:noWrap/>
            <w:vAlign w:val="center"/>
            <w:hideMark/>
          </w:tcPr>
          <w:p w14:paraId="77CF3865"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-50.197</w:t>
            </w:r>
          </w:p>
        </w:tc>
        <w:tc>
          <w:tcPr>
            <w:tcW w:w="1100" w:type="dxa"/>
            <w:tcBorders>
              <w:top w:val="nil"/>
              <w:left w:val="nil"/>
              <w:bottom w:val="single" w:sz="4" w:space="0" w:color="auto"/>
              <w:right w:val="single" w:sz="4" w:space="0" w:color="auto"/>
            </w:tcBorders>
            <w:shd w:val="clear" w:color="auto" w:fill="auto"/>
            <w:noWrap/>
            <w:vAlign w:val="center"/>
            <w:hideMark/>
          </w:tcPr>
          <w:p w14:paraId="63B380A9"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-0.359</w:t>
            </w:r>
          </w:p>
        </w:tc>
        <w:tc>
          <w:tcPr>
            <w:tcW w:w="1100" w:type="dxa"/>
            <w:tcBorders>
              <w:top w:val="nil"/>
              <w:left w:val="nil"/>
              <w:bottom w:val="single" w:sz="4" w:space="0" w:color="auto"/>
              <w:right w:val="single" w:sz="4" w:space="0" w:color="auto"/>
            </w:tcBorders>
            <w:shd w:val="clear" w:color="000000" w:fill="BFBFBF"/>
            <w:noWrap/>
            <w:vAlign w:val="center"/>
            <w:hideMark/>
          </w:tcPr>
          <w:p w14:paraId="785BCAE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-201.755</w:t>
            </w:r>
          </w:p>
        </w:tc>
        <w:tc>
          <w:tcPr>
            <w:tcW w:w="1100" w:type="dxa"/>
            <w:tcBorders>
              <w:top w:val="nil"/>
              <w:left w:val="nil"/>
              <w:bottom w:val="single" w:sz="4" w:space="0" w:color="auto"/>
              <w:right w:val="single" w:sz="4" w:space="0" w:color="auto"/>
            </w:tcBorders>
            <w:shd w:val="clear" w:color="auto" w:fill="auto"/>
            <w:noWrap/>
            <w:vAlign w:val="center"/>
            <w:hideMark/>
          </w:tcPr>
          <w:p w14:paraId="7483F54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21.069</w:t>
            </w:r>
          </w:p>
        </w:tc>
        <w:tc>
          <w:tcPr>
            <w:tcW w:w="1100" w:type="dxa"/>
            <w:tcBorders>
              <w:top w:val="nil"/>
              <w:left w:val="nil"/>
              <w:bottom w:val="single" w:sz="4" w:space="0" w:color="auto"/>
              <w:right w:val="single" w:sz="4" w:space="0" w:color="auto"/>
            </w:tcBorders>
            <w:shd w:val="clear" w:color="auto" w:fill="auto"/>
            <w:noWrap/>
            <w:vAlign w:val="center"/>
            <w:hideMark/>
          </w:tcPr>
          <w:p w14:paraId="0564A9D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6.125</w:t>
            </w:r>
          </w:p>
        </w:tc>
        <w:tc>
          <w:tcPr>
            <w:tcW w:w="1101" w:type="dxa"/>
            <w:tcBorders>
              <w:top w:val="nil"/>
              <w:left w:val="nil"/>
              <w:bottom w:val="single" w:sz="4" w:space="0" w:color="auto"/>
              <w:right w:val="single" w:sz="8" w:space="0" w:color="auto"/>
            </w:tcBorders>
            <w:shd w:val="clear" w:color="000000" w:fill="BFBFBF"/>
            <w:noWrap/>
            <w:vAlign w:val="center"/>
            <w:hideMark/>
          </w:tcPr>
          <w:p w14:paraId="01D44DE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-174.561</w:t>
            </w:r>
          </w:p>
        </w:tc>
      </w:tr>
      <w:tr w:rsidR="002F12B1" w14:paraId="07E2797F"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0B49EECE"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Business Rates Volatility Reserve</w:t>
            </w:r>
          </w:p>
        </w:tc>
        <w:tc>
          <w:tcPr>
            <w:tcW w:w="1100" w:type="dxa"/>
            <w:tcBorders>
              <w:top w:val="nil"/>
              <w:left w:val="nil"/>
              <w:bottom w:val="single" w:sz="4" w:space="0" w:color="auto"/>
              <w:right w:val="single" w:sz="4" w:space="0" w:color="auto"/>
            </w:tcBorders>
            <w:shd w:val="clear" w:color="auto" w:fill="auto"/>
            <w:noWrap/>
            <w:vAlign w:val="center"/>
            <w:hideMark/>
          </w:tcPr>
          <w:p w14:paraId="2E5B063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750A3A5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-5.000</w:t>
            </w:r>
          </w:p>
        </w:tc>
        <w:tc>
          <w:tcPr>
            <w:tcW w:w="1100" w:type="dxa"/>
            <w:tcBorders>
              <w:top w:val="nil"/>
              <w:left w:val="nil"/>
              <w:bottom w:val="single" w:sz="4" w:space="0" w:color="auto"/>
              <w:right w:val="single" w:sz="4" w:space="0" w:color="auto"/>
            </w:tcBorders>
            <w:shd w:val="clear" w:color="auto" w:fill="auto"/>
            <w:noWrap/>
            <w:vAlign w:val="center"/>
            <w:hideMark/>
          </w:tcPr>
          <w:p w14:paraId="246D8EC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000000" w:fill="BFBFBF"/>
            <w:noWrap/>
            <w:vAlign w:val="center"/>
            <w:hideMark/>
          </w:tcPr>
          <w:p w14:paraId="1A0A1F9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-5.000</w:t>
            </w:r>
          </w:p>
        </w:tc>
        <w:tc>
          <w:tcPr>
            <w:tcW w:w="1100" w:type="dxa"/>
            <w:tcBorders>
              <w:top w:val="nil"/>
              <w:left w:val="nil"/>
              <w:bottom w:val="single" w:sz="4" w:space="0" w:color="auto"/>
              <w:right w:val="single" w:sz="4" w:space="0" w:color="auto"/>
            </w:tcBorders>
            <w:shd w:val="clear" w:color="auto" w:fill="auto"/>
            <w:noWrap/>
            <w:vAlign w:val="center"/>
            <w:hideMark/>
          </w:tcPr>
          <w:p w14:paraId="1169998D"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5.000</w:t>
            </w:r>
          </w:p>
        </w:tc>
        <w:tc>
          <w:tcPr>
            <w:tcW w:w="1100" w:type="dxa"/>
            <w:tcBorders>
              <w:top w:val="nil"/>
              <w:left w:val="nil"/>
              <w:bottom w:val="single" w:sz="4" w:space="0" w:color="auto"/>
              <w:right w:val="single" w:sz="4" w:space="0" w:color="auto"/>
            </w:tcBorders>
            <w:shd w:val="clear" w:color="auto" w:fill="auto"/>
            <w:noWrap/>
            <w:vAlign w:val="center"/>
            <w:hideMark/>
          </w:tcPr>
          <w:p w14:paraId="1B347F9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1" w:type="dxa"/>
            <w:tcBorders>
              <w:top w:val="nil"/>
              <w:left w:val="nil"/>
              <w:bottom w:val="single" w:sz="4" w:space="0" w:color="auto"/>
              <w:right w:val="single" w:sz="8" w:space="0" w:color="auto"/>
            </w:tcBorders>
            <w:shd w:val="clear" w:color="000000" w:fill="BFBFBF"/>
            <w:noWrap/>
            <w:vAlign w:val="center"/>
            <w:hideMark/>
          </w:tcPr>
          <w:p w14:paraId="480F23F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r>
      <w:tr w:rsidR="002F12B1" w14:paraId="4880B39B"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165B9F4F"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 xml:space="preserve">Service Reserves </w:t>
            </w:r>
          </w:p>
        </w:tc>
        <w:tc>
          <w:tcPr>
            <w:tcW w:w="1100" w:type="dxa"/>
            <w:tcBorders>
              <w:top w:val="nil"/>
              <w:left w:val="nil"/>
              <w:bottom w:val="single" w:sz="4" w:space="0" w:color="auto"/>
              <w:right w:val="single" w:sz="4" w:space="0" w:color="auto"/>
            </w:tcBorders>
            <w:shd w:val="clear" w:color="auto" w:fill="auto"/>
            <w:noWrap/>
            <w:vAlign w:val="center"/>
            <w:hideMark/>
          </w:tcPr>
          <w:p w14:paraId="53FB4695"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-18.201</w:t>
            </w:r>
          </w:p>
        </w:tc>
        <w:tc>
          <w:tcPr>
            <w:tcW w:w="1100" w:type="dxa"/>
            <w:tcBorders>
              <w:top w:val="nil"/>
              <w:left w:val="nil"/>
              <w:bottom w:val="single" w:sz="4" w:space="0" w:color="auto"/>
              <w:right w:val="single" w:sz="4" w:space="0" w:color="auto"/>
            </w:tcBorders>
            <w:shd w:val="clear" w:color="auto" w:fill="auto"/>
            <w:noWrap/>
            <w:vAlign w:val="center"/>
            <w:hideMark/>
          </w:tcPr>
          <w:p w14:paraId="69CF946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-51.987</w:t>
            </w:r>
          </w:p>
        </w:tc>
        <w:tc>
          <w:tcPr>
            <w:tcW w:w="1100" w:type="dxa"/>
            <w:tcBorders>
              <w:top w:val="nil"/>
              <w:left w:val="nil"/>
              <w:bottom w:val="single" w:sz="4" w:space="0" w:color="auto"/>
              <w:right w:val="single" w:sz="4" w:space="0" w:color="auto"/>
            </w:tcBorders>
            <w:shd w:val="clear" w:color="auto" w:fill="auto"/>
            <w:noWrap/>
            <w:vAlign w:val="center"/>
            <w:hideMark/>
          </w:tcPr>
          <w:p w14:paraId="5B7CF7D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-1.966</w:t>
            </w:r>
          </w:p>
        </w:tc>
        <w:tc>
          <w:tcPr>
            <w:tcW w:w="1100" w:type="dxa"/>
            <w:tcBorders>
              <w:top w:val="nil"/>
              <w:left w:val="nil"/>
              <w:bottom w:val="single" w:sz="4" w:space="0" w:color="auto"/>
              <w:right w:val="single" w:sz="4" w:space="0" w:color="auto"/>
            </w:tcBorders>
            <w:shd w:val="clear" w:color="000000" w:fill="BFBFBF"/>
            <w:noWrap/>
            <w:vAlign w:val="center"/>
            <w:hideMark/>
          </w:tcPr>
          <w:p w14:paraId="643C53A2"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-72.154</w:t>
            </w:r>
          </w:p>
        </w:tc>
        <w:tc>
          <w:tcPr>
            <w:tcW w:w="1100" w:type="dxa"/>
            <w:tcBorders>
              <w:top w:val="nil"/>
              <w:left w:val="nil"/>
              <w:bottom w:val="single" w:sz="4" w:space="0" w:color="auto"/>
              <w:right w:val="single" w:sz="4" w:space="0" w:color="auto"/>
            </w:tcBorders>
            <w:shd w:val="clear" w:color="auto" w:fill="auto"/>
            <w:noWrap/>
            <w:vAlign w:val="center"/>
            <w:hideMark/>
          </w:tcPr>
          <w:p w14:paraId="796162F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58.864</w:t>
            </w:r>
          </w:p>
        </w:tc>
        <w:tc>
          <w:tcPr>
            <w:tcW w:w="1100" w:type="dxa"/>
            <w:tcBorders>
              <w:top w:val="nil"/>
              <w:left w:val="nil"/>
              <w:bottom w:val="single" w:sz="4" w:space="0" w:color="auto"/>
              <w:right w:val="single" w:sz="4" w:space="0" w:color="auto"/>
            </w:tcBorders>
            <w:shd w:val="clear" w:color="auto" w:fill="auto"/>
            <w:noWrap/>
            <w:vAlign w:val="center"/>
            <w:hideMark/>
          </w:tcPr>
          <w:p w14:paraId="281E73E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9.175</w:t>
            </w:r>
          </w:p>
        </w:tc>
        <w:tc>
          <w:tcPr>
            <w:tcW w:w="1101" w:type="dxa"/>
            <w:tcBorders>
              <w:top w:val="nil"/>
              <w:left w:val="nil"/>
              <w:bottom w:val="single" w:sz="4" w:space="0" w:color="auto"/>
              <w:right w:val="single" w:sz="8" w:space="0" w:color="auto"/>
            </w:tcBorders>
            <w:shd w:val="clear" w:color="000000" w:fill="BFBFBF"/>
            <w:noWrap/>
            <w:vAlign w:val="center"/>
            <w:hideMark/>
          </w:tcPr>
          <w:p w14:paraId="3351143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-4.115</w:t>
            </w:r>
          </w:p>
        </w:tc>
      </w:tr>
      <w:tr w:rsidR="002F12B1" w14:paraId="7ECAB2EB" w14:textId="77777777" w:rsidTr="00D10794">
        <w:trPr>
          <w:trHeight w:val="634"/>
        </w:trPr>
        <w:tc>
          <w:tcPr>
            <w:tcW w:w="1833" w:type="dxa"/>
            <w:tcBorders>
              <w:top w:val="nil"/>
              <w:left w:val="single" w:sz="8" w:space="0" w:color="auto"/>
              <w:bottom w:val="nil"/>
              <w:right w:val="single" w:sz="4" w:space="0" w:color="auto"/>
            </w:tcBorders>
            <w:shd w:val="clear" w:color="auto" w:fill="auto"/>
            <w:vAlign w:val="center"/>
            <w:hideMark/>
          </w:tcPr>
          <w:p w14:paraId="0C771B4D"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Treasury Management Valuation Reserve</w:t>
            </w:r>
          </w:p>
        </w:tc>
        <w:tc>
          <w:tcPr>
            <w:tcW w:w="1100" w:type="dxa"/>
            <w:tcBorders>
              <w:top w:val="nil"/>
              <w:left w:val="nil"/>
              <w:bottom w:val="nil"/>
              <w:right w:val="single" w:sz="4" w:space="0" w:color="auto"/>
            </w:tcBorders>
            <w:shd w:val="clear" w:color="auto" w:fill="auto"/>
            <w:noWrap/>
            <w:vAlign w:val="center"/>
            <w:hideMark/>
          </w:tcPr>
          <w:p w14:paraId="505F1238"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nil"/>
              <w:right w:val="single" w:sz="4" w:space="0" w:color="auto"/>
            </w:tcBorders>
            <w:shd w:val="clear" w:color="auto" w:fill="auto"/>
            <w:noWrap/>
            <w:vAlign w:val="center"/>
            <w:hideMark/>
          </w:tcPr>
          <w:p w14:paraId="6A4ABF7D"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nil"/>
              <w:right w:val="single" w:sz="4" w:space="0" w:color="auto"/>
            </w:tcBorders>
            <w:shd w:val="clear" w:color="auto" w:fill="auto"/>
            <w:noWrap/>
            <w:vAlign w:val="center"/>
            <w:hideMark/>
          </w:tcPr>
          <w:p w14:paraId="50A113BF"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-13.778</w:t>
            </w:r>
          </w:p>
        </w:tc>
        <w:tc>
          <w:tcPr>
            <w:tcW w:w="1100" w:type="dxa"/>
            <w:tcBorders>
              <w:top w:val="nil"/>
              <w:left w:val="nil"/>
              <w:bottom w:val="single" w:sz="4" w:space="0" w:color="auto"/>
              <w:right w:val="single" w:sz="4" w:space="0" w:color="auto"/>
            </w:tcBorders>
            <w:shd w:val="clear" w:color="000000" w:fill="BFBFBF"/>
            <w:noWrap/>
            <w:vAlign w:val="center"/>
            <w:hideMark/>
          </w:tcPr>
          <w:p w14:paraId="4E7F7175"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-13.778</w:t>
            </w:r>
          </w:p>
        </w:tc>
        <w:tc>
          <w:tcPr>
            <w:tcW w:w="1100" w:type="dxa"/>
            <w:tcBorders>
              <w:top w:val="nil"/>
              <w:left w:val="nil"/>
              <w:bottom w:val="nil"/>
              <w:right w:val="single" w:sz="4" w:space="0" w:color="auto"/>
            </w:tcBorders>
            <w:shd w:val="clear" w:color="auto" w:fill="auto"/>
            <w:noWrap/>
            <w:vAlign w:val="center"/>
            <w:hideMark/>
          </w:tcPr>
          <w:p w14:paraId="0A30850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nil"/>
              <w:left w:val="nil"/>
              <w:bottom w:val="nil"/>
              <w:right w:val="single" w:sz="4" w:space="0" w:color="auto"/>
            </w:tcBorders>
            <w:shd w:val="clear" w:color="auto" w:fill="auto"/>
            <w:noWrap/>
            <w:vAlign w:val="center"/>
            <w:hideMark/>
          </w:tcPr>
          <w:p w14:paraId="026B0F45"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1" w:type="dxa"/>
            <w:tcBorders>
              <w:top w:val="nil"/>
              <w:left w:val="nil"/>
              <w:bottom w:val="single" w:sz="4" w:space="0" w:color="auto"/>
              <w:right w:val="single" w:sz="8" w:space="0" w:color="auto"/>
            </w:tcBorders>
            <w:shd w:val="clear" w:color="000000" w:fill="BFBFBF"/>
            <w:noWrap/>
            <w:vAlign w:val="center"/>
            <w:hideMark/>
          </w:tcPr>
          <w:p w14:paraId="60357B5E"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-13.778</w:t>
            </w:r>
          </w:p>
        </w:tc>
      </w:tr>
      <w:tr w:rsidR="002F12B1" w14:paraId="11ECE588" w14:textId="77777777" w:rsidTr="00D10794">
        <w:trPr>
          <w:trHeight w:val="634"/>
        </w:trPr>
        <w:tc>
          <w:tcPr>
            <w:tcW w:w="1833" w:type="dxa"/>
            <w:tcBorders>
              <w:top w:val="single" w:sz="4" w:space="0" w:color="auto"/>
              <w:left w:val="single" w:sz="8" w:space="0" w:color="auto"/>
              <w:bottom w:val="nil"/>
              <w:right w:val="single" w:sz="4" w:space="0" w:color="auto"/>
            </w:tcBorders>
            <w:shd w:val="clear" w:color="auto" w:fill="auto"/>
            <w:vAlign w:val="center"/>
            <w:hideMark/>
          </w:tcPr>
          <w:p w14:paraId="413ED62F"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Treasury Management Reserve</w:t>
            </w:r>
          </w:p>
        </w:tc>
        <w:tc>
          <w:tcPr>
            <w:tcW w:w="1100" w:type="dxa"/>
            <w:tcBorders>
              <w:top w:val="single" w:sz="4" w:space="0" w:color="auto"/>
              <w:left w:val="nil"/>
              <w:bottom w:val="nil"/>
              <w:right w:val="single" w:sz="4" w:space="0" w:color="auto"/>
            </w:tcBorders>
            <w:shd w:val="clear" w:color="auto" w:fill="auto"/>
            <w:noWrap/>
            <w:vAlign w:val="center"/>
            <w:hideMark/>
          </w:tcPr>
          <w:p w14:paraId="22ABA9CF"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-11.597</w:t>
            </w:r>
          </w:p>
        </w:tc>
        <w:tc>
          <w:tcPr>
            <w:tcW w:w="1100" w:type="dxa"/>
            <w:tcBorders>
              <w:top w:val="single" w:sz="4" w:space="0" w:color="auto"/>
              <w:left w:val="nil"/>
              <w:bottom w:val="nil"/>
              <w:right w:val="single" w:sz="4" w:space="0" w:color="auto"/>
            </w:tcBorders>
            <w:shd w:val="clear" w:color="auto" w:fill="auto"/>
            <w:noWrap/>
            <w:vAlign w:val="center"/>
            <w:hideMark/>
          </w:tcPr>
          <w:p w14:paraId="2E9E30C8"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-17.584</w:t>
            </w:r>
          </w:p>
        </w:tc>
        <w:tc>
          <w:tcPr>
            <w:tcW w:w="1100" w:type="dxa"/>
            <w:tcBorders>
              <w:top w:val="single" w:sz="4" w:space="0" w:color="auto"/>
              <w:left w:val="nil"/>
              <w:bottom w:val="nil"/>
              <w:right w:val="single" w:sz="4" w:space="0" w:color="auto"/>
            </w:tcBorders>
            <w:shd w:val="clear" w:color="auto" w:fill="auto"/>
            <w:noWrap/>
            <w:vAlign w:val="center"/>
            <w:hideMark/>
          </w:tcPr>
          <w:p w14:paraId="05C2468C"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13.778</w:t>
            </w:r>
          </w:p>
        </w:tc>
        <w:tc>
          <w:tcPr>
            <w:tcW w:w="1100" w:type="dxa"/>
            <w:tcBorders>
              <w:top w:val="nil"/>
              <w:left w:val="nil"/>
              <w:bottom w:val="single" w:sz="4" w:space="0" w:color="auto"/>
              <w:right w:val="single" w:sz="4" w:space="0" w:color="auto"/>
            </w:tcBorders>
            <w:shd w:val="clear" w:color="000000" w:fill="BFBFBF"/>
            <w:noWrap/>
            <w:vAlign w:val="center"/>
            <w:hideMark/>
          </w:tcPr>
          <w:p w14:paraId="09190CD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-15.403</w:t>
            </w:r>
          </w:p>
        </w:tc>
        <w:tc>
          <w:tcPr>
            <w:tcW w:w="1100" w:type="dxa"/>
            <w:tcBorders>
              <w:top w:val="single" w:sz="4" w:space="0" w:color="auto"/>
              <w:left w:val="nil"/>
              <w:bottom w:val="nil"/>
              <w:right w:val="single" w:sz="4" w:space="0" w:color="auto"/>
            </w:tcBorders>
            <w:shd w:val="clear" w:color="auto" w:fill="auto"/>
            <w:noWrap/>
            <w:vAlign w:val="center"/>
            <w:hideMark/>
          </w:tcPr>
          <w:p w14:paraId="210DDBB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0" w:type="dxa"/>
            <w:tcBorders>
              <w:top w:val="single" w:sz="4" w:space="0" w:color="auto"/>
              <w:left w:val="nil"/>
              <w:bottom w:val="nil"/>
              <w:right w:val="single" w:sz="4" w:space="0" w:color="auto"/>
            </w:tcBorders>
            <w:shd w:val="clear" w:color="auto" w:fill="auto"/>
            <w:noWrap/>
            <w:vAlign w:val="center"/>
            <w:hideMark/>
          </w:tcPr>
          <w:p w14:paraId="2BB1AB08"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0.000</w:t>
            </w:r>
          </w:p>
        </w:tc>
        <w:tc>
          <w:tcPr>
            <w:tcW w:w="1101" w:type="dxa"/>
            <w:tcBorders>
              <w:top w:val="nil"/>
              <w:left w:val="nil"/>
              <w:bottom w:val="single" w:sz="4" w:space="0" w:color="auto"/>
              <w:right w:val="single" w:sz="8" w:space="0" w:color="auto"/>
            </w:tcBorders>
            <w:shd w:val="clear" w:color="000000" w:fill="BFBFBF"/>
            <w:noWrap/>
            <w:vAlign w:val="center"/>
            <w:hideMark/>
          </w:tcPr>
          <w:p w14:paraId="59FB1F4E"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-15.403</w:t>
            </w:r>
          </w:p>
        </w:tc>
      </w:tr>
      <w:tr w:rsidR="002F12B1" w14:paraId="464AD228" w14:textId="77777777" w:rsidTr="00D10794">
        <w:trPr>
          <w:trHeight w:val="634"/>
        </w:trPr>
        <w:tc>
          <w:tcPr>
            <w:tcW w:w="1833"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482E3EFD" w14:textId="77777777" w:rsidR="00D10794" w:rsidRPr="009D3C6D" w:rsidRDefault="00D10794" w:rsidP="00D10794">
            <w:pPr>
              <w:autoSpaceDE/>
              <w:autoSpaceDN/>
              <w:adjustRightInd/>
              <w:spacing w:after="0"/>
              <w:jc w:val="left"/>
              <w:rPr>
                <w:rFonts w:eastAsia="Times New Roman" w:cs="Arial"/>
                <w:b/>
                <w:bCs/>
                <w:sz w:val="16"/>
                <w:szCs w:val="16"/>
                <w:lang w:eastAsia="en-GB"/>
              </w:rPr>
            </w:pPr>
            <w:r w:rsidRPr="009D3C6D">
              <w:rPr>
                <w:rFonts w:eastAsia="Times New Roman" w:cs="Arial"/>
                <w:b/>
                <w:bCs/>
                <w:sz w:val="16"/>
                <w:szCs w:val="16"/>
                <w:lang w:eastAsia="en-GB"/>
              </w:rPr>
              <w:t>SUB TOTAL - LCC RESERVES</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31334CAC"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-228.354</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18113762"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-108.046</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6786565C"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-0.346</w:t>
            </w:r>
          </w:p>
        </w:tc>
        <w:tc>
          <w:tcPr>
            <w:tcW w:w="1100" w:type="dxa"/>
            <w:tcBorders>
              <w:top w:val="nil"/>
              <w:left w:val="nil"/>
              <w:bottom w:val="single" w:sz="8" w:space="0" w:color="auto"/>
              <w:right w:val="single" w:sz="4" w:space="0" w:color="auto"/>
            </w:tcBorders>
            <w:shd w:val="clear" w:color="000000" w:fill="BFBFBF"/>
            <w:noWrap/>
            <w:vAlign w:val="center"/>
            <w:hideMark/>
          </w:tcPr>
          <w:p w14:paraId="27ABE443"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-336.746</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086093D8"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108.241</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7C146D1A"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19.527</w:t>
            </w:r>
          </w:p>
        </w:tc>
        <w:tc>
          <w:tcPr>
            <w:tcW w:w="1101" w:type="dxa"/>
            <w:tcBorders>
              <w:top w:val="nil"/>
              <w:left w:val="nil"/>
              <w:bottom w:val="single" w:sz="8" w:space="0" w:color="auto"/>
              <w:right w:val="single" w:sz="8" w:space="0" w:color="auto"/>
            </w:tcBorders>
            <w:shd w:val="clear" w:color="000000" w:fill="BFBFBF"/>
            <w:noWrap/>
            <w:vAlign w:val="center"/>
            <w:hideMark/>
          </w:tcPr>
          <w:p w14:paraId="36AA8205"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-208.978</w:t>
            </w:r>
          </w:p>
        </w:tc>
      </w:tr>
      <w:tr w:rsidR="002F12B1" w14:paraId="5F5F7432" w14:textId="77777777" w:rsidTr="00D10794">
        <w:trPr>
          <w:trHeight w:val="634"/>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3F6D284A" w14:textId="77777777" w:rsidR="00D10794" w:rsidRPr="009D3C6D" w:rsidRDefault="00D10794" w:rsidP="00D10794">
            <w:pPr>
              <w:autoSpaceDE/>
              <w:autoSpaceDN/>
              <w:adjustRightInd/>
              <w:spacing w:after="0"/>
              <w:jc w:val="left"/>
              <w:rPr>
                <w:rFonts w:eastAsia="Times New Roman" w:cs="Arial"/>
                <w:sz w:val="16"/>
                <w:szCs w:val="16"/>
                <w:lang w:eastAsia="en-GB"/>
              </w:rPr>
            </w:pPr>
            <w:r w:rsidRPr="009D3C6D">
              <w:rPr>
                <w:rFonts w:eastAsia="Times New Roman" w:cs="Arial"/>
                <w:sz w:val="16"/>
                <w:szCs w:val="16"/>
                <w:lang w:eastAsia="en-GB"/>
              </w:rPr>
              <w:t>Non-LCC Service Reserves</w:t>
            </w:r>
          </w:p>
        </w:tc>
        <w:tc>
          <w:tcPr>
            <w:tcW w:w="1100" w:type="dxa"/>
            <w:tcBorders>
              <w:top w:val="nil"/>
              <w:left w:val="nil"/>
              <w:bottom w:val="nil"/>
              <w:right w:val="single" w:sz="4" w:space="0" w:color="auto"/>
            </w:tcBorders>
            <w:shd w:val="clear" w:color="auto" w:fill="auto"/>
            <w:noWrap/>
            <w:vAlign w:val="center"/>
            <w:hideMark/>
          </w:tcPr>
          <w:p w14:paraId="59AF7DF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-16.305</w:t>
            </w:r>
          </w:p>
        </w:tc>
        <w:tc>
          <w:tcPr>
            <w:tcW w:w="1100" w:type="dxa"/>
            <w:tcBorders>
              <w:top w:val="nil"/>
              <w:left w:val="nil"/>
              <w:bottom w:val="nil"/>
              <w:right w:val="single" w:sz="4" w:space="0" w:color="auto"/>
            </w:tcBorders>
            <w:shd w:val="clear" w:color="auto" w:fill="auto"/>
            <w:noWrap/>
            <w:vAlign w:val="center"/>
            <w:hideMark/>
          </w:tcPr>
          <w:p w14:paraId="3C8059D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-0.237</w:t>
            </w:r>
          </w:p>
        </w:tc>
        <w:tc>
          <w:tcPr>
            <w:tcW w:w="1100" w:type="dxa"/>
            <w:tcBorders>
              <w:top w:val="nil"/>
              <w:left w:val="nil"/>
              <w:bottom w:val="nil"/>
              <w:right w:val="single" w:sz="4" w:space="0" w:color="auto"/>
            </w:tcBorders>
            <w:shd w:val="clear" w:color="auto" w:fill="auto"/>
            <w:noWrap/>
            <w:vAlign w:val="center"/>
            <w:hideMark/>
          </w:tcPr>
          <w:p w14:paraId="2302DF7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0.346</w:t>
            </w:r>
          </w:p>
        </w:tc>
        <w:tc>
          <w:tcPr>
            <w:tcW w:w="1100" w:type="dxa"/>
            <w:tcBorders>
              <w:top w:val="nil"/>
              <w:left w:val="nil"/>
              <w:bottom w:val="single" w:sz="4" w:space="0" w:color="auto"/>
              <w:right w:val="single" w:sz="4" w:space="0" w:color="auto"/>
            </w:tcBorders>
            <w:shd w:val="clear" w:color="000000" w:fill="BFBFBF"/>
            <w:noWrap/>
            <w:vAlign w:val="center"/>
            <w:hideMark/>
          </w:tcPr>
          <w:p w14:paraId="40440D68"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-16.196</w:t>
            </w:r>
          </w:p>
        </w:tc>
        <w:tc>
          <w:tcPr>
            <w:tcW w:w="1100" w:type="dxa"/>
            <w:tcBorders>
              <w:top w:val="nil"/>
              <w:left w:val="nil"/>
              <w:bottom w:val="nil"/>
              <w:right w:val="single" w:sz="4" w:space="0" w:color="auto"/>
            </w:tcBorders>
            <w:shd w:val="clear" w:color="auto" w:fill="auto"/>
            <w:noWrap/>
            <w:vAlign w:val="center"/>
            <w:hideMark/>
          </w:tcPr>
          <w:p w14:paraId="0DC33091"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2.633</w:t>
            </w:r>
          </w:p>
        </w:tc>
        <w:tc>
          <w:tcPr>
            <w:tcW w:w="1100" w:type="dxa"/>
            <w:tcBorders>
              <w:top w:val="nil"/>
              <w:left w:val="nil"/>
              <w:bottom w:val="nil"/>
              <w:right w:val="single" w:sz="4" w:space="0" w:color="auto"/>
            </w:tcBorders>
            <w:shd w:val="clear" w:color="auto" w:fill="auto"/>
            <w:noWrap/>
            <w:vAlign w:val="center"/>
            <w:hideMark/>
          </w:tcPr>
          <w:p w14:paraId="142ADFBA"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0.316</w:t>
            </w:r>
          </w:p>
        </w:tc>
        <w:tc>
          <w:tcPr>
            <w:tcW w:w="1101" w:type="dxa"/>
            <w:tcBorders>
              <w:top w:val="nil"/>
              <w:left w:val="nil"/>
              <w:bottom w:val="single" w:sz="4" w:space="0" w:color="auto"/>
              <w:right w:val="single" w:sz="8" w:space="0" w:color="auto"/>
            </w:tcBorders>
            <w:shd w:val="clear" w:color="000000" w:fill="BFBFBF"/>
            <w:noWrap/>
            <w:vAlign w:val="center"/>
            <w:hideMark/>
          </w:tcPr>
          <w:p w14:paraId="4BD5AD20"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-13.247</w:t>
            </w:r>
          </w:p>
        </w:tc>
      </w:tr>
      <w:tr w:rsidR="002F12B1" w14:paraId="09924FA7" w14:textId="77777777" w:rsidTr="00D10794">
        <w:trPr>
          <w:trHeight w:val="426"/>
        </w:trPr>
        <w:tc>
          <w:tcPr>
            <w:tcW w:w="1833" w:type="dxa"/>
            <w:tcBorders>
              <w:top w:val="nil"/>
              <w:left w:val="single" w:sz="8" w:space="0" w:color="auto"/>
              <w:bottom w:val="single" w:sz="8" w:space="0" w:color="auto"/>
              <w:right w:val="single" w:sz="4" w:space="0" w:color="auto"/>
            </w:tcBorders>
            <w:shd w:val="clear" w:color="000000" w:fill="BFBFBF"/>
            <w:vAlign w:val="center"/>
            <w:hideMark/>
          </w:tcPr>
          <w:p w14:paraId="6BF99E9E" w14:textId="77777777" w:rsidR="00D10794" w:rsidRPr="009D3C6D" w:rsidRDefault="00D10794" w:rsidP="00D10794">
            <w:pPr>
              <w:autoSpaceDE/>
              <w:autoSpaceDN/>
              <w:adjustRightInd/>
              <w:spacing w:after="0"/>
              <w:jc w:val="left"/>
              <w:rPr>
                <w:rFonts w:eastAsia="Times New Roman" w:cs="Arial"/>
                <w:b/>
                <w:bCs/>
                <w:sz w:val="16"/>
                <w:szCs w:val="16"/>
                <w:lang w:eastAsia="en-GB"/>
              </w:rPr>
            </w:pPr>
            <w:r w:rsidRPr="009D3C6D">
              <w:rPr>
                <w:rFonts w:eastAsia="Times New Roman" w:cs="Arial"/>
                <w:b/>
                <w:bCs/>
                <w:sz w:val="16"/>
                <w:szCs w:val="16"/>
                <w:lang w:eastAsia="en-GB"/>
              </w:rPr>
              <w:t>SUB TOTAL - NON LCC RESERVES</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62470849"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-16.305</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5A15C025"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-0.237</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0F792D4D"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0.346</w:t>
            </w:r>
          </w:p>
        </w:tc>
        <w:tc>
          <w:tcPr>
            <w:tcW w:w="1100" w:type="dxa"/>
            <w:tcBorders>
              <w:top w:val="nil"/>
              <w:left w:val="nil"/>
              <w:bottom w:val="single" w:sz="8" w:space="0" w:color="auto"/>
              <w:right w:val="single" w:sz="4" w:space="0" w:color="auto"/>
            </w:tcBorders>
            <w:shd w:val="clear" w:color="000000" w:fill="BFBFBF"/>
            <w:noWrap/>
            <w:vAlign w:val="center"/>
            <w:hideMark/>
          </w:tcPr>
          <w:p w14:paraId="36CB9EFE"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-16.196</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3C9F3CB5"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2.633</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14:paraId="43E8BBB4"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0.316</w:t>
            </w:r>
          </w:p>
        </w:tc>
        <w:tc>
          <w:tcPr>
            <w:tcW w:w="1101" w:type="dxa"/>
            <w:tcBorders>
              <w:top w:val="nil"/>
              <w:left w:val="nil"/>
              <w:bottom w:val="single" w:sz="8" w:space="0" w:color="auto"/>
              <w:right w:val="single" w:sz="8" w:space="0" w:color="auto"/>
            </w:tcBorders>
            <w:shd w:val="clear" w:color="000000" w:fill="BFBFBF"/>
            <w:noWrap/>
            <w:vAlign w:val="center"/>
            <w:hideMark/>
          </w:tcPr>
          <w:p w14:paraId="5275BAF6"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-13.247</w:t>
            </w:r>
          </w:p>
        </w:tc>
      </w:tr>
      <w:tr w:rsidR="002F12B1" w14:paraId="1BE13C71" w14:textId="77777777" w:rsidTr="00D10794">
        <w:trPr>
          <w:trHeight w:val="296"/>
        </w:trPr>
        <w:tc>
          <w:tcPr>
            <w:tcW w:w="1833" w:type="dxa"/>
            <w:tcBorders>
              <w:top w:val="single" w:sz="4" w:space="0" w:color="auto"/>
              <w:left w:val="single" w:sz="8" w:space="0" w:color="auto"/>
              <w:bottom w:val="nil"/>
              <w:right w:val="single" w:sz="4" w:space="0" w:color="auto"/>
            </w:tcBorders>
            <w:shd w:val="clear" w:color="auto" w:fill="auto"/>
            <w:vAlign w:val="center"/>
            <w:hideMark/>
          </w:tcPr>
          <w:p w14:paraId="4D067CCE" w14:textId="77777777" w:rsidR="00D10794" w:rsidRPr="009D3C6D" w:rsidRDefault="00D10794" w:rsidP="00D10794">
            <w:pPr>
              <w:autoSpaceDE/>
              <w:autoSpaceDN/>
              <w:adjustRightInd/>
              <w:spacing w:after="0"/>
              <w:jc w:val="left"/>
              <w:rPr>
                <w:rFonts w:eastAsia="Times New Roman" w:cs="Arial"/>
                <w:i/>
                <w:iCs/>
                <w:sz w:val="16"/>
                <w:szCs w:val="16"/>
                <w:lang w:eastAsia="en-GB"/>
              </w:rPr>
            </w:pPr>
            <w:r w:rsidRPr="009D3C6D">
              <w:rPr>
                <w:rFonts w:eastAsia="Times New Roman" w:cs="Arial"/>
                <w:i/>
                <w:iCs/>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0CEEBB16"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3D8C0313"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3F5EBFB4"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30ED2107" w14:textId="77777777" w:rsidR="00D10794" w:rsidRPr="009D3C6D" w:rsidRDefault="00D10794" w:rsidP="00D10794">
            <w:pPr>
              <w:autoSpaceDE/>
              <w:autoSpaceDN/>
              <w:adjustRightInd/>
              <w:spacing w:after="0"/>
              <w:jc w:val="center"/>
              <w:rPr>
                <w:rFonts w:eastAsia="Times New Roman" w:cs="Arial"/>
                <w:sz w:val="16"/>
                <w:szCs w:val="16"/>
                <w:lang w:eastAsia="en-GB"/>
              </w:rPr>
            </w:pPr>
            <w:r w:rsidRPr="009D3C6D">
              <w:rPr>
                <w:rFonts w:eastAsia="Times New Roman" w:cs="Arial"/>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1418CBB5" w14:textId="77777777" w:rsidR="00D10794" w:rsidRPr="009D3C6D" w:rsidRDefault="00D10794" w:rsidP="00D10794">
            <w:pPr>
              <w:autoSpaceDE/>
              <w:autoSpaceDN/>
              <w:adjustRightInd/>
              <w:spacing w:after="0"/>
              <w:jc w:val="center"/>
              <w:rPr>
                <w:rFonts w:eastAsia="Times New Roman" w:cs="Arial"/>
                <w:i/>
                <w:iCs/>
                <w:sz w:val="16"/>
                <w:szCs w:val="16"/>
                <w:lang w:eastAsia="en-GB"/>
              </w:rPr>
            </w:pPr>
            <w:r w:rsidRPr="009D3C6D">
              <w:rPr>
                <w:rFonts w:eastAsia="Times New Roman" w:cs="Arial"/>
                <w:i/>
                <w:iCs/>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14:paraId="164BA125" w14:textId="77777777" w:rsidR="00D10794" w:rsidRPr="009D3C6D" w:rsidRDefault="00D10794" w:rsidP="00D10794">
            <w:pPr>
              <w:autoSpaceDE/>
              <w:autoSpaceDN/>
              <w:adjustRightInd/>
              <w:spacing w:after="0"/>
              <w:jc w:val="center"/>
              <w:rPr>
                <w:rFonts w:eastAsia="Times New Roman" w:cs="Arial"/>
                <w:i/>
                <w:iCs/>
                <w:sz w:val="16"/>
                <w:szCs w:val="16"/>
                <w:lang w:eastAsia="en-GB"/>
              </w:rPr>
            </w:pPr>
            <w:r w:rsidRPr="009D3C6D">
              <w:rPr>
                <w:rFonts w:eastAsia="Times New Roman" w:cs="Arial"/>
                <w:i/>
                <w:iCs/>
                <w:sz w:val="16"/>
                <w:szCs w:val="16"/>
                <w:lang w:eastAsia="en-GB"/>
              </w:rPr>
              <w:t> </w:t>
            </w:r>
          </w:p>
        </w:tc>
        <w:tc>
          <w:tcPr>
            <w:tcW w:w="1101" w:type="dxa"/>
            <w:tcBorders>
              <w:top w:val="nil"/>
              <w:left w:val="nil"/>
              <w:bottom w:val="nil"/>
              <w:right w:val="single" w:sz="8" w:space="0" w:color="auto"/>
            </w:tcBorders>
            <w:shd w:val="clear" w:color="auto" w:fill="auto"/>
            <w:noWrap/>
            <w:vAlign w:val="center"/>
            <w:hideMark/>
          </w:tcPr>
          <w:p w14:paraId="6E71B95E" w14:textId="77777777" w:rsidR="00D10794" w:rsidRPr="009D3C6D" w:rsidRDefault="00D10794" w:rsidP="00D10794">
            <w:pPr>
              <w:autoSpaceDE/>
              <w:autoSpaceDN/>
              <w:adjustRightInd/>
              <w:spacing w:after="0"/>
              <w:jc w:val="center"/>
              <w:rPr>
                <w:rFonts w:eastAsia="Times New Roman" w:cs="Arial"/>
                <w:i/>
                <w:iCs/>
                <w:sz w:val="16"/>
                <w:szCs w:val="16"/>
                <w:lang w:eastAsia="en-GB"/>
              </w:rPr>
            </w:pPr>
            <w:r w:rsidRPr="009D3C6D">
              <w:rPr>
                <w:rFonts w:eastAsia="Times New Roman" w:cs="Arial"/>
                <w:i/>
                <w:iCs/>
                <w:sz w:val="16"/>
                <w:szCs w:val="16"/>
                <w:lang w:eastAsia="en-GB"/>
              </w:rPr>
              <w:t> </w:t>
            </w:r>
          </w:p>
        </w:tc>
      </w:tr>
      <w:tr w:rsidR="002F12B1" w14:paraId="7A5F9D03" w14:textId="77777777" w:rsidTr="00D10794">
        <w:trPr>
          <w:trHeight w:val="426"/>
        </w:trPr>
        <w:tc>
          <w:tcPr>
            <w:tcW w:w="1833"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AD8871B" w14:textId="77777777" w:rsidR="00D10794" w:rsidRPr="009D3C6D" w:rsidRDefault="00D10794" w:rsidP="00D10794">
            <w:pPr>
              <w:autoSpaceDE/>
              <w:autoSpaceDN/>
              <w:adjustRightInd/>
              <w:spacing w:after="0"/>
              <w:jc w:val="left"/>
              <w:rPr>
                <w:rFonts w:eastAsia="Times New Roman" w:cs="Arial"/>
                <w:b/>
                <w:bCs/>
                <w:sz w:val="16"/>
                <w:szCs w:val="16"/>
                <w:lang w:eastAsia="en-GB"/>
              </w:rPr>
            </w:pPr>
            <w:r w:rsidRPr="009D3C6D">
              <w:rPr>
                <w:rFonts w:eastAsia="Times New Roman" w:cs="Arial"/>
                <w:b/>
                <w:bCs/>
                <w:sz w:val="16"/>
                <w:szCs w:val="16"/>
                <w:lang w:eastAsia="en-GB"/>
              </w:rPr>
              <w:t>GRAND TOTAL</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4FC3D84C"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-268.096</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274DAC02"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-108.283</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69CC9EBE"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0.000</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69F2CCF1"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-376.379</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22AD254D"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110.874</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14:paraId="677CB617"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19.843</w:t>
            </w:r>
          </w:p>
        </w:tc>
        <w:tc>
          <w:tcPr>
            <w:tcW w:w="1101" w:type="dxa"/>
            <w:tcBorders>
              <w:top w:val="single" w:sz="8" w:space="0" w:color="auto"/>
              <w:left w:val="nil"/>
              <w:bottom w:val="single" w:sz="8" w:space="0" w:color="auto"/>
              <w:right w:val="single" w:sz="8" w:space="0" w:color="auto"/>
            </w:tcBorders>
            <w:shd w:val="clear" w:color="000000" w:fill="BFBFBF"/>
            <w:noWrap/>
            <w:vAlign w:val="center"/>
            <w:hideMark/>
          </w:tcPr>
          <w:p w14:paraId="36627642" w14:textId="77777777" w:rsidR="00D10794" w:rsidRPr="009D3C6D" w:rsidRDefault="00D10794" w:rsidP="00D10794">
            <w:pPr>
              <w:autoSpaceDE/>
              <w:autoSpaceDN/>
              <w:adjustRightInd/>
              <w:spacing w:after="0"/>
              <w:jc w:val="center"/>
              <w:rPr>
                <w:rFonts w:eastAsia="Times New Roman" w:cs="Arial"/>
                <w:b/>
                <w:bCs/>
                <w:sz w:val="16"/>
                <w:szCs w:val="16"/>
                <w:lang w:eastAsia="en-GB"/>
              </w:rPr>
            </w:pPr>
            <w:r w:rsidRPr="009D3C6D">
              <w:rPr>
                <w:rFonts w:eastAsia="Times New Roman" w:cs="Arial"/>
                <w:b/>
                <w:bCs/>
                <w:sz w:val="16"/>
                <w:szCs w:val="16"/>
                <w:lang w:eastAsia="en-GB"/>
              </w:rPr>
              <w:t>-245.662</w:t>
            </w:r>
          </w:p>
        </w:tc>
      </w:tr>
    </w:tbl>
    <w:p w14:paraId="41177087" w14:textId="77777777" w:rsidR="00D10794" w:rsidRPr="00C529BF" w:rsidRDefault="00D10794" w:rsidP="00D10794">
      <w:pPr>
        <w:spacing w:after="0"/>
        <w:rPr>
          <w:b/>
          <w:highlight w:val="yellow"/>
        </w:rPr>
      </w:pPr>
    </w:p>
    <w:p w14:paraId="3B44CF5F" w14:textId="0777F7EF" w:rsidR="00D10794" w:rsidRPr="00BC7F2C" w:rsidRDefault="00D10794" w:rsidP="00D10794">
      <w:pPr>
        <w:spacing w:after="0"/>
        <w:ind w:right="-24"/>
        <w:rPr>
          <w:rFonts w:cs="Arial"/>
        </w:rPr>
      </w:pPr>
      <w:r w:rsidRPr="00BC7F2C">
        <w:rPr>
          <w:rFonts w:cs="Arial"/>
        </w:rPr>
        <w:lastRenderedPageBreak/>
        <w:t xml:space="preserve">The County Fund shown at the top of Table </w:t>
      </w:r>
      <w:r w:rsidR="00B12B6D">
        <w:rPr>
          <w:rFonts w:cs="Arial"/>
        </w:rPr>
        <w:t>4</w:t>
      </w:r>
      <w:r w:rsidRPr="00BC7F2C">
        <w:rPr>
          <w:rFonts w:cs="Arial"/>
        </w:rPr>
        <w:t xml:space="preserve"> is the balance set aside to cover the authority against a serious emergency situation (e.g. widespread flooding</w:t>
      </w:r>
      <w:proofErr w:type="gramStart"/>
      <w:r w:rsidRPr="00BC7F2C">
        <w:rPr>
          <w:rFonts w:cs="Arial"/>
        </w:rPr>
        <w:t>);</w:t>
      </w:r>
      <w:proofErr w:type="gramEnd"/>
      <w:r w:rsidRPr="00BC7F2C">
        <w:rPr>
          <w:rFonts w:cs="Arial"/>
        </w:rPr>
        <w:t xml:space="preserve"> a critical and unexpected loss of income to the authority and for general cash flow purposes.  In considering these various factors the county council has a County Fund balance of which remains unchanged at £23.437m at the end of 20</w:t>
      </w:r>
      <w:r>
        <w:rPr>
          <w:rFonts w:cs="Arial"/>
        </w:rPr>
        <w:t>20</w:t>
      </w:r>
      <w:r w:rsidRPr="00BC7F2C">
        <w:rPr>
          <w:rFonts w:cs="Arial"/>
        </w:rPr>
        <w:t>/2</w:t>
      </w:r>
      <w:r>
        <w:rPr>
          <w:rFonts w:cs="Arial"/>
        </w:rPr>
        <w:t>1</w:t>
      </w:r>
      <w:r w:rsidRPr="00BC7F2C">
        <w:rPr>
          <w:rFonts w:cs="Arial"/>
        </w:rPr>
        <w:t xml:space="preserve">.  </w:t>
      </w:r>
    </w:p>
    <w:p w14:paraId="59D451AB" w14:textId="77777777" w:rsidR="00D10794" w:rsidRPr="00C529BF" w:rsidRDefault="00D10794" w:rsidP="00D10794">
      <w:pPr>
        <w:spacing w:after="0"/>
        <w:ind w:right="-24"/>
        <w:rPr>
          <w:rFonts w:cs="Arial"/>
          <w:highlight w:val="yellow"/>
        </w:rPr>
      </w:pPr>
    </w:p>
    <w:p w14:paraId="414DE503" w14:textId="77777777" w:rsidR="00D10794" w:rsidRPr="00C529BF" w:rsidRDefault="00D10794" w:rsidP="00D10794">
      <w:pPr>
        <w:tabs>
          <w:tab w:val="left" w:pos="567"/>
          <w:tab w:val="left" w:pos="1134"/>
        </w:tabs>
        <w:spacing w:after="0"/>
        <w:rPr>
          <w:rFonts w:cs="Arial"/>
          <w:highlight w:val="yellow"/>
        </w:rPr>
      </w:pPr>
      <w:r w:rsidRPr="001109F9">
        <w:rPr>
          <w:rFonts w:cs="Arial"/>
        </w:rPr>
        <w:t>The table above shows that the forecast value at the end of 2022/23 of the uncommitted Transitional Reserve following the 2020/21 outturn is £174.561m. This is an improved position of £15.834m compared to that reported to Cabinet at Quarter 3, due to an increased underspend within the revenue budget</w:t>
      </w:r>
      <w:r>
        <w:rPr>
          <w:rFonts w:cs="Arial"/>
        </w:rPr>
        <w:t xml:space="preserve"> and a commitment that goes into 2023/24.</w:t>
      </w:r>
    </w:p>
    <w:p w14:paraId="64578066" w14:textId="77777777" w:rsidR="00D10794" w:rsidRPr="00C529BF" w:rsidRDefault="00D10794" w:rsidP="00D10794">
      <w:pPr>
        <w:tabs>
          <w:tab w:val="left" w:pos="567"/>
          <w:tab w:val="left" w:pos="1134"/>
        </w:tabs>
        <w:spacing w:after="0"/>
        <w:rPr>
          <w:rFonts w:cs="Arial"/>
          <w:highlight w:val="yellow"/>
        </w:rPr>
      </w:pPr>
    </w:p>
    <w:p w14:paraId="0BE5C0DE" w14:textId="77777777" w:rsidR="00D10794" w:rsidRPr="002942D0" w:rsidRDefault="00D10794" w:rsidP="00D10794">
      <w:pPr>
        <w:tabs>
          <w:tab w:val="left" w:pos="567"/>
          <w:tab w:val="left" w:pos="1134"/>
        </w:tabs>
        <w:spacing w:after="0"/>
        <w:rPr>
          <w:rFonts w:cs="Arial"/>
        </w:rPr>
      </w:pPr>
      <w:r w:rsidRPr="001109F9">
        <w:rPr>
          <w:rFonts w:cs="Arial"/>
        </w:rPr>
        <w:t>The closing balance of the Transitional Reserve at 31</w:t>
      </w:r>
      <w:r w:rsidRPr="001109F9">
        <w:rPr>
          <w:rFonts w:cs="Arial"/>
          <w:vertAlign w:val="superscript"/>
        </w:rPr>
        <w:t>st</w:t>
      </w:r>
      <w:r w:rsidRPr="001109F9">
        <w:rPr>
          <w:rFonts w:cs="Arial"/>
        </w:rPr>
        <w:t xml:space="preserve"> March 202</w:t>
      </w:r>
      <w:r>
        <w:rPr>
          <w:rFonts w:cs="Arial"/>
        </w:rPr>
        <w:t>1</w:t>
      </w:r>
      <w:r w:rsidRPr="001109F9">
        <w:rPr>
          <w:rFonts w:cs="Arial"/>
        </w:rPr>
        <w:t xml:space="preserve"> has improved by £42.335m when compared to the forecast at quarter 3. The main reasons for this are </w:t>
      </w:r>
      <w:r w:rsidRPr="002942D0">
        <w:rPr>
          <w:rFonts w:cs="Arial"/>
        </w:rPr>
        <w:t>as follows:</w:t>
      </w:r>
    </w:p>
    <w:p w14:paraId="0824C923" w14:textId="1F426352" w:rsidR="00D10794" w:rsidRPr="002942D0" w:rsidRDefault="00D10794" w:rsidP="00D10794">
      <w:pPr>
        <w:pStyle w:val="ListParagraph"/>
        <w:numPr>
          <w:ilvl w:val="0"/>
          <w:numId w:val="30"/>
        </w:numPr>
        <w:tabs>
          <w:tab w:val="left" w:pos="709"/>
          <w:tab w:val="left" w:pos="1134"/>
        </w:tabs>
        <w:spacing w:after="0"/>
        <w:rPr>
          <w:rFonts w:cs="Arial"/>
        </w:rPr>
      </w:pPr>
      <w:r w:rsidRPr="002942D0">
        <w:rPr>
          <w:rFonts w:cs="Arial"/>
        </w:rPr>
        <w:t xml:space="preserve">£11.283m </w:t>
      </w:r>
      <w:r>
        <w:rPr>
          <w:rFonts w:cs="Arial"/>
        </w:rPr>
        <w:t xml:space="preserve">improvement in the </w:t>
      </w:r>
      <w:r w:rsidRPr="002942D0">
        <w:rPr>
          <w:rFonts w:cs="Arial"/>
        </w:rPr>
        <w:t xml:space="preserve">underspend position that </w:t>
      </w:r>
      <w:r>
        <w:rPr>
          <w:rFonts w:cs="Arial"/>
        </w:rPr>
        <w:t>has been</w:t>
      </w:r>
      <w:r w:rsidRPr="002942D0">
        <w:rPr>
          <w:rFonts w:cs="Arial"/>
        </w:rPr>
        <w:t xml:space="preserve"> subsequently transferred to the transitional reserve</w:t>
      </w:r>
      <w:r w:rsidR="00AE4ACF">
        <w:rPr>
          <w:rFonts w:cs="Arial"/>
        </w:rPr>
        <w:t>.</w:t>
      </w:r>
    </w:p>
    <w:p w14:paraId="0644F7F2" w14:textId="77777777" w:rsidR="00D10794" w:rsidRDefault="00D10794" w:rsidP="00D10794">
      <w:pPr>
        <w:pStyle w:val="ListParagraph"/>
        <w:numPr>
          <w:ilvl w:val="0"/>
          <w:numId w:val="30"/>
        </w:numPr>
        <w:tabs>
          <w:tab w:val="left" w:pos="709"/>
          <w:tab w:val="left" w:pos="1134"/>
        </w:tabs>
        <w:spacing w:after="0"/>
        <w:rPr>
          <w:rFonts w:cs="Arial"/>
        </w:rPr>
      </w:pPr>
      <w:r>
        <w:rPr>
          <w:rFonts w:cs="Arial"/>
        </w:rPr>
        <w:t xml:space="preserve">£18.732m of increased funding set aside for future year collection fund costs due to the impact of covid-19 and the schemes offered by the government to manage the cash flow of collection fund deficits. </w:t>
      </w:r>
    </w:p>
    <w:p w14:paraId="1EE8A32F" w14:textId="10721A83" w:rsidR="00D10794" w:rsidRDefault="00D10794" w:rsidP="00D10794">
      <w:pPr>
        <w:pStyle w:val="ListParagraph"/>
        <w:numPr>
          <w:ilvl w:val="0"/>
          <w:numId w:val="30"/>
        </w:numPr>
        <w:tabs>
          <w:tab w:val="left" w:pos="709"/>
          <w:tab w:val="left" w:pos="1134"/>
        </w:tabs>
        <w:spacing w:after="0"/>
        <w:rPr>
          <w:rFonts w:cs="Arial"/>
        </w:rPr>
      </w:pPr>
      <w:r>
        <w:rPr>
          <w:rFonts w:cs="Arial"/>
        </w:rPr>
        <w:t xml:space="preserve">£11.298m funding to support future pressures following the pandemic. </w:t>
      </w:r>
    </w:p>
    <w:p w14:paraId="5DC8F240" w14:textId="77777777" w:rsidR="00D10794" w:rsidRDefault="00D10794" w:rsidP="00D10794">
      <w:pPr>
        <w:tabs>
          <w:tab w:val="left" w:pos="709"/>
          <w:tab w:val="left" w:pos="1134"/>
        </w:tabs>
        <w:spacing w:after="0"/>
        <w:rPr>
          <w:rFonts w:cs="Arial"/>
        </w:rPr>
      </w:pPr>
    </w:p>
    <w:p w14:paraId="01027997" w14:textId="77777777" w:rsidR="00D10794" w:rsidRPr="002942D0" w:rsidRDefault="00D10794" w:rsidP="00D10794">
      <w:pPr>
        <w:tabs>
          <w:tab w:val="left" w:pos="709"/>
          <w:tab w:val="left" w:pos="1134"/>
        </w:tabs>
        <w:spacing w:after="0"/>
        <w:rPr>
          <w:rFonts w:cs="Arial"/>
        </w:rPr>
      </w:pPr>
      <w:r>
        <w:rPr>
          <w:rFonts w:cs="Arial"/>
        </w:rPr>
        <w:t>It should be noted that there are significant increases to commitments in later years that will offset some of the improved position.</w:t>
      </w:r>
    </w:p>
    <w:p w14:paraId="56FF3E64" w14:textId="77777777" w:rsidR="00D10794" w:rsidRPr="00C529BF" w:rsidRDefault="00D10794" w:rsidP="00D10794">
      <w:pPr>
        <w:tabs>
          <w:tab w:val="left" w:pos="567"/>
          <w:tab w:val="left" w:pos="1134"/>
        </w:tabs>
        <w:spacing w:after="0"/>
        <w:rPr>
          <w:rFonts w:cs="Arial"/>
          <w:highlight w:val="yellow"/>
        </w:rPr>
      </w:pPr>
    </w:p>
    <w:p w14:paraId="19096670" w14:textId="77777777" w:rsidR="00D10794" w:rsidRPr="00C529BF" w:rsidRDefault="00D10794" w:rsidP="00D10794">
      <w:pPr>
        <w:tabs>
          <w:tab w:val="left" w:pos="567"/>
          <w:tab w:val="left" w:pos="1134"/>
        </w:tabs>
        <w:spacing w:after="0"/>
        <w:rPr>
          <w:rFonts w:cs="Arial"/>
          <w:highlight w:val="yellow"/>
        </w:rPr>
      </w:pPr>
      <w:r w:rsidRPr="002942D0">
        <w:rPr>
          <w:rFonts w:cs="Arial"/>
        </w:rPr>
        <w:t xml:space="preserve">There </w:t>
      </w:r>
      <w:r>
        <w:rPr>
          <w:rFonts w:cs="Arial"/>
        </w:rPr>
        <w:t>has</w:t>
      </w:r>
      <w:r w:rsidRPr="002942D0">
        <w:rPr>
          <w:rFonts w:cs="Arial"/>
        </w:rPr>
        <w:t xml:space="preserve"> been no need to call on the Transitional Reserve to support the 2020/21 budget, with an agreed contribution to reserves made as part of the 2020/21 budget</w:t>
      </w:r>
      <w:r>
        <w:rPr>
          <w:rFonts w:cs="Arial"/>
        </w:rPr>
        <w:t xml:space="preserve"> of £1.358m</w:t>
      </w:r>
      <w:r w:rsidRPr="002942D0">
        <w:rPr>
          <w:rFonts w:cs="Arial"/>
        </w:rPr>
        <w:t xml:space="preserve">.  </w:t>
      </w:r>
      <w:r>
        <w:rPr>
          <w:rFonts w:cs="Arial"/>
        </w:rPr>
        <w:t xml:space="preserve">The table </w:t>
      </w:r>
      <w:r w:rsidRPr="002942D0">
        <w:rPr>
          <w:rFonts w:cs="Arial"/>
        </w:rPr>
        <w:t>below shows the available balances for each future financial year and most importantly the forecast available funds to support the budget gap in future years. However, the uncertainty surrounding the impact of the current pandemic and the continued uncertainty around the future of local government funding may lead to further savings having to be made.</w:t>
      </w:r>
    </w:p>
    <w:p w14:paraId="18AB890B" w14:textId="77777777" w:rsidR="00D10794" w:rsidRPr="00C529BF" w:rsidRDefault="00D10794" w:rsidP="00D10794">
      <w:pPr>
        <w:tabs>
          <w:tab w:val="left" w:pos="567"/>
          <w:tab w:val="left" w:pos="1134"/>
        </w:tabs>
        <w:spacing w:after="0"/>
        <w:rPr>
          <w:rFonts w:cs="Arial"/>
          <w:highlight w:val="yellow"/>
        </w:rPr>
      </w:pPr>
    </w:p>
    <w:p w14:paraId="07B520E0" w14:textId="67F8D1D7" w:rsidR="00D10794" w:rsidRPr="00BC70A2" w:rsidRDefault="00D10794" w:rsidP="00D10794">
      <w:pPr>
        <w:spacing w:after="0"/>
        <w:rPr>
          <w:i/>
          <w:u w:val="single"/>
        </w:rPr>
      </w:pPr>
      <w:r w:rsidRPr="00BC70A2">
        <w:rPr>
          <w:i/>
          <w:u w:val="single"/>
        </w:rPr>
        <w:t xml:space="preserve">Table </w:t>
      </w:r>
      <w:r w:rsidR="00B12B6D">
        <w:rPr>
          <w:i/>
          <w:u w:val="single"/>
        </w:rPr>
        <w:t>5</w:t>
      </w:r>
    </w:p>
    <w:p w14:paraId="4ABAD57D" w14:textId="77777777" w:rsidR="00D10794" w:rsidRPr="002942D0" w:rsidRDefault="00D10794" w:rsidP="00D10794">
      <w:pPr>
        <w:tabs>
          <w:tab w:val="left" w:pos="567"/>
          <w:tab w:val="left" w:pos="1134"/>
        </w:tabs>
        <w:spacing w:after="0"/>
        <w:rPr>
          <w:rFonts w:cs="Arial"/>
        </w:rPr>
      </w:pPr>
    </w:p>
    <w:tbl>
      <w:tblPr>
        <w:tblW w:w="8937" w:type="dxa"/>
        <w:tblLook w:val="04A0" w:firstRow="1" w:lastRow="0" w:firstColumn="1" w:lastColumn="0" w:noHBand="0" w:noVBand="1"/>
      </w:tblPr>
      <w:tblGrid>
        <w:gridCol w:w="4251"/>
        <w:gridCol w:w="1649"/>
        <w:gridCol w:w="1569"/>
        <w:gridCol w:w="1468"/>
      </w:tblGrid>
      <w:tr w:rsidR="002F12B1" w14:paraId="38BA5702" w14:textId="77777777" w:rsidTr="00D10794">
        <w:trPr>
          <w:trHeight w:val="312"/>
        </w:trPr>
        <w:tc>
          <w:tcPr>
            <w:tcW w:w="425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C9D0B60" w14:textId="77777777" w:rsidR="00D10794" w:rsidRPr="002942D0" w:rsidRDefault="00D10794" w:rsidP="00D10794">
            <w:pPr>
              <w:autoSpaceDE/>
              <w:autoSpaceDN/>
              <w:adjustRightInd/>
              <w:spacing w:after="0"/>
              <w:jc w:val="left"/>
              <w:rPr>
                <w:rFonts w:eastAsia="Times New Roman" w:cs="Arial"/>
                <w:b/>
                <w:bCs/>
                <w:lang w:eastAsia="en-GB"/>
              </w:rPr>
            </w:pPr>
            <w:r w:rsidRPr="002942D0">
              <w:rPr>
                <w:rFonts w:eastAsia="Times New Roman" w:cs="Arial"/>
                <w:b/>
                <w:bCs/>
                <w:lang w:eastAsia="en-GB"/>
              </w:rPr>
              <w:t> </w:t>
            </w:r>
          </w:p>
        </w:tc>
        <w:tc>
          <w:tcPr>
            <w:tcW w:w="1649" w:type="dxa"/>
            <w:tcBorders>
              <w:top w:val="single" w:sz="8" w:space="0" w:color="auto"/>
              <w:left w:val="nil"/>
              <w:bottom w:val="single" w:sz="8" w:space="0" w:color="auto"/>
              <w:right w:val="single" w:sz="8" w:space="0" w:color="auto"/>
            </w:tcBorders>
            <w:shd w:val="clear" w:color="000000" w:fill="BFBFBF"/>
            <w:vAlign w:val="center"/>
            <w:hideMark/>
          </w:tcPr>
          <w:p w14:paraId="2FCA6274"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2021/22</w:t>
            </w:r>
          </w:p>
        </w:tc>
        <w:tc>
          <w:tcPr>
            <w:tcW w:w="1569" w:type="dxa"/>
            <w:tcBorders>
              <w:top w:val="single" w:sz="8" w:space="0" w:color="auto"/>
              <w:left w:val="nil"/>
              <w:bottom w:val="single" w:sz="8" w:space="0" w:color="auto"/>
              <w:right w:val="single" w:sz="8" w:space="0" w:color="auto"/>
            </w:tcBorders>
            <w:shd w:val="clear" w:color="000000" w:fill="BFBFBF"/>
            <w:vAlign w:val="center"/>
            <w:hideMark/>
          </w:tcPr>
          <w:p w14:paraId="022FCA4C"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2022/23</w:t>
            </w:r>
          </w:p>
        </w:tc>
        <w:tc>
          <w:tcPr>
            <w:tcW w:w="1468" w:type="dxa"/>
            <w:tcBorders>
              <w:top w:val="single" w:sz="8" w:space="0" w:color="auto"/>
              <w:left w:val="nil"/>
              <w:bottom w:val="single" w:sz="8" w:space="0" w:color="auto"/>
              <w:right w:val="single" w:sz="8" w:space="0" w:color="auto"/>
            </w:tcBorders>
            <w:shd w:val="clear" w:color="000000" w:fill="BFBFBF"/>
            <w:vAlign w:val="center"/>
            <w:hideMark/>
          </w:tcPr>
          <w:p w14:paraId="7E706407"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2023/24</w:t>
            </w:r>
          </w:p>
        </w:tc>
      </w:tr>
      <w:tr w:rsidR="002F12B1" w14:paraId="30BA1646"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5FA8B8DF" w14:textId="77777777" w:rsidR="00D10794" w:rsidRPr="002942D0" w:rsidRDefault="00D10794" w:rsidP="00D10794">
            <w:pPr>
              <w:autoSpaceDE/>
              <w:autoSpaceDN/>
              <w:adjustRightInd/>
              <w:spacing w:after="0"/>
              <w:jc w:val="left"/>
              <w:rPr>
                <w:rFonts w:eastAsia="Times New Roman" w:cs="Arial"/>
                <w:b/>
                <w:bCs/>
                <w:lang w:eastAsia="en-GB"/>
              </w:rPr>
            </w:pPr>
            <w:r w:rsidRPr="002942D0">
              <w:rPr>
                <w:rFonts w:eastAsia="Times New Roman" w:cs="Arial"/>
                <w:b/>
                <w:bCs/>
                <w:lang w:eastAsia="en-GB"/>
              </w:rPr>
              <w:t>Opening Balance</w:t>
            </w:r>
          </w:p>
        </w:tc>
        <w:tc>
          <w:tcPr>
            <w:tcW w:w="1649" w:type="dxa"/>
            <w:tcBorders>
              <w:top w:val="nil"/>
              <w:left w:val="nil"/>
              <w:bottom w:val="single" w:sz="8" w:space="0" w:color="auto"/>
              <w:right w:val="single" w:sz="8" w:space="0" w:color="auto"/>
            </w:tcBorders>
            <w:shd w:val="clear" w:color="auto" w:fill="auto"/>
            <w:vAlign w:val="center"/>
            <w:hideMark/>
          </w:tcPr>
          <w:p w14:paraId="66C93859"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201.755</w:t>
            </w:r>
          </w:p>
        </w:tc>
        <w:tc>
          <w:tcPr>
            <w:tcW w:w="1569" w:type="dxa"/>
            <w:tcBorders>
              <w:top w:val="nil"/>
              <w:left w:val="nil"/>
              <w:bottom w:val="single" w:sz="8" w:space="0" w:color="auto"/>
              <w:right w:val="single" w:sz="8" w:space="0" w:color="auto"/>
            </w:tcBorders>
            <w:shd w:val="clear" w:color="auto" w:fill="auto"/>
            <w:vAlign w:val="center"/>
            <w:hideMark/>
          </w:tcPr>
          <w:p w14:paraId="50839967"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176.826</w:t>
            </w:r>
          </w:p>
        </w:tc>
        <w:tc>
          <w:tcPr>
            <w:tcW w:w="1468" w:type="dxa"/>
            <w:tcBorders>
              <w:top w:val="nil"/>
              <w:left w:val="nil"/>
              <w:bottom w:val="single" w:sz="8" w:space="0" w:color="auto"/>
              <w:right w:val="single" w:sz="8" w:space="0" w:color="auto"/>
            </w:tcBorders>
            <w:shd w:val="clear" w:color="auto" w:fill="auto"/>
            <w:vAlign w:val="center"/>
            <w:hideMark/>
          </w:tcPr>
          <w:p w14:paraId="63A0F3E9"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133.207</w:t>
            </w:r>
          </w:p>
        </w:tc>
      </w:tr>
      <w:tr w:rsidR="002F12B1" w14:paraId="0C1E9318"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6DF55318" w14:textId="77777777" w:rsidR="00D10794" w:rsidRPr="002942D0" w:rsidRDefault="00D10794" w:rsidP="00D10794">
            <w:pPr>
              <w:autoSpaceDE/>
              <w:autoSpaceDN/>
              <w:adjustRightInd/>
              <w:spacing w:after="0"/>
              <w:jc w:val="left"/>
              <w:rPr>
                <w:rFonts w:eastAsia="Times New Roman" w:cs="Arial"/>
                <w:b/>
                <w:bCs/>
                <w:lang w:eastAsia="en-GB"/>
              </w:rPr>
            </w:pPr>
            <w:r w:rsidRPr="002942D0">
              <w:rPr>
                <w:rFonts w:eastAsia="Times New Roman" w:cs="Arial"/>
                <w:b/>
                <w:bCs/>
                <w:lang w:eastAsia="en-GB"/>
              </w:rPr>
              <w:t>Gap funding</w:t>
            </w:r>
          </w:p>
        </w:tc>
        <w:tc>
          <w:tcPr>
            <w:tcW w:w="1649" w:type="dxa"/>
            <w:tcBorders>
              <w:top w:val="nil"/>
              <w:left w:val="nil"/>
              <w:bottom w:val="single" w:sz="8" w:space="0" w:color="auto"/>
              <w:right w:val="single" w:sz="8" w:space="0" w:color="auto"/>
            </w:tcBorders>
            <w:shd w:val="clear" w:color="auto" w:fill="auto"/>
            <w:vAlign w:val="center"/>
            <w:hideMark/>
          </w:tcPr>
          <w:p w14:paraId="7781AD7C"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3.860</w:t>
            </w:r>
          </w:p>
        </w:tc>
        <w:tc>
          <w:tcPr>
            <w:tcW w:w="1569" w:type="dxa"/>
            <w:tcBorders>
              <w:top w:val="nil"/>
              <w:left w:val="nil"/>
              <w:bottom w:val="single" w:sz="8" w:space="0" w:color="auto"/>
              <w:right w:val="single" w:sz="8" w:space="0" w:color="auto"/>
            </w:tcBorders>
            <w:shd w:val="clear" w:color="auto" w:fill="auto"/>
            <w:vAlign w:val="center"/>
            <w:hideMark/>
          </w:tcPr>
          <w:p w14:paraId="44E9724C"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37.495</w:t>
            </w:r>
          </w:p>
        </w:tc>
        <w:tc>
          <w:tcPr>
            <w:tcW w:w="1468" w:type="dxa"/>
            <w:tcBorders>
              <w:top w:val="nil"/>
              <w:left w:val="nil"/>
              <w:bottom w:val="single" w:sz="8" w:space="0" w:color="auto"/>
              <w:right w:val="single" w:sz="8" w:space="0" w:color="auto"/>
            </w:tcBorders>
            <w:shd w:val="clear" w:color="auto" w:fill="auto"/>
            <w:vAlign w:val="center"/>
            <w:hideMark/>
          </w:tcPr>
          <w:p w14:paraId="4AD29803"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50.048</w:t>
            </w:r>
          </w:p>
        </w:tc>
      </w:tr>
      <w:tr w:rsidR="002F12B1" w14:paraId="3A7F32A9"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0BFDB7B2" w14:textId="77777777" w:rsidR="00D10794" w:rsidRPr="002942D0" w:rsidRDefault="00D10794" w:rsidP="00D10794">
            <w:pPr>
              <w:autoSpaceDE/>
              <w:autoSpaceDN/>
              <w:adjustRightInd/>
              <w:spacing w:after="0"/>
              <w:jc w:val="left"/>
              <w:rPr>
                <w:rFonts w:eastAsia="Times New Roman" w:cs="Arial"/>
                <w:b/>
                <w:bCs/>
                <w:lang w:eastAsia="en-GB"/>
              </w:rPr>
            </w:pPr>
            <w:r w:rsidRPr="002942D0">
              <w:rPr>
                <w:rFonts w:eastAsia="Times New Roman" w:cs="Arial"/>
                <w:b/>
                <w:bCs/>
                <w:lang w:eastAsia="en-GB"/>
              </w:rPr>
              <w:t>Commitments</w:t>
            </w:r>
          </w:p>
        </w:tc>
        <w:tc>
          <w:tcPr>
            <w:tcW w:w="1649" w:type="dxa"/>
            <w:tcBorders>
              <w:top w:val="nil"/>
              <w:left w:val="nil"/>
              <w:bottom w:val="single" w:sz="8" w:space="0" w:color="auto"/>
              <w:right w:val="single" w:sz="8" w:space="0" w:color="auto"/>
            </w:tcBorders>
            <w:shd w:val="clear" w:color="auto" w:fill="auto"/>
            <w:vAlign w:val="center"/>
            <w:hideMark/>
          </w:tcPr>
          <w:p w14:paraId="1F7CCF14"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21.069</w:t>
            </w:r>
          </w:p>
        </w:tc>
        <w:tc>
          <w:tcPr>
            <w:tcW w:w="1569" w:type="dxa"/>
            <w:tcBorders>
              <w:top w:val="nil"/>
              <w:left w:val="nil"/>
              <w:bottom w:val="single" w:sz="8" w:space="0" w:color="auto"/>
              <w:right w:val="single" w:sz="8" w:space="0" w:color="auto"/>
            </w:tcBorders>
            <w:shd w:val="clear" w:color="auto" w:fill="auto"/>
            <w:vAlign w:val="center"/>
            <w:hideMark/>
          </w:tcPr>
          <w:p w14:paraId="1220FA93"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6.125</w:t>
            </w:r>
          </w:p>
        </w:tc>
        <w:tc>
          <w:tcPr>
            <w:tcW w:w="1468" w:type="dxa"/>
            <w:tcBorders>
              <w:top w:val="nil"/>
              <w:left w:val="nil"/>
              <w:bottom w:val="single" w:sz="8" w:space="0" w:color="auto"/>
              <w:right w:val="single" w:sz="8" w:space="0" w:color="auto"/>
            </w:tcBorders>
            <w:shd w:val="clear" w:color="auto" w:fill="auto"/>
            <w:vAlign w:val="center"/>
            <w:hideMark/>
          </w:tcPr>
          <w:p w14:paraId="163997BF" w14:textId="77777777" w:rsidR="00D10794" w:rsidRPr="002942D0" w:rsidRDefault="00D10794" w:rsidP="00D10794">
            <w:pPr>
              <w:autoSpaceDE/>
              <w:autoSpaceDN/>
              <w:adjustRightInd/>
              <w:spacing w:after="0"/>
              <w:jc w:val="right"/>
              <w:rPr>
                <w:rFonts w:eastAsia="Times New Roman" w:cs="Arial"/>
                <w:lang w:eastAsia="en-GB"/>
              </w:rPr>
            </w:pPr>
            <w:r w:rsidRPr="002942D0">
              <w:rPr>
                <w:rFonts w:eastAsia="Times New Roman" w:cs="Arial"/>
                <w:lang w:eastAsia="en-GB"/>
              </w:rPr>
              <w:t>5.936</w:t>
            </w:r>
          </w:p>
        </w:tc>
      </w:tr>
      <w:tr w:rsidR="002F12B1" w14:paraId="4D8E709D" w14:textId="77777777" w:rsidTr="00D10794">
        <w:trPr>
          <w:trHeight w:val="312"/>
        </w:trPr>
        <w:tc>
          <w:tcPr>
            <w:tcW w:w="4251" w:type="dxa"/>
            <w:tcBorders>
              <w:top w:val="nil"/>
              <w:left w:val="single" w:sz="8" w:space="0" w:color="auto"/>
              <w:bottom w:val="single" w:sz="8" w:space="0" w:color="auto"/>
              <w:right w:val="single" w:sz="8" w:space="0" w:color="auto"/>
            </w:tcBorders>
            <w:shd w:val="clear" w:color="000000" w:fill="BFBFBF"/>
            <w:vAlign w:val="center"/>
            <w:hideMark/>
          </w:tcPr>
          <w:p w14:paraId="3CC740AE" w14:textId="77777777" w:rsidR="00D10794" w:rsidRPr="002942D0" w:rsidRDefault="00D10794" w:rsidP="00D10794">
            <w:pPr>
              <w:autoSpaceDE/>
              <w:autoSpaceDN/>
              <w:adjustRightInd/>
              <w:spacing w:after="0"/>
              <w:jc w:val="left"/>
              <w:rPr>
                <w:rFonts w:eastAsia="Times New Roman" w:cs="Arial"/>
                <w:b/>
                <w:bCs/>
                <w:lang w:eastAsia="en-GB"/>
              </w:rPr>
            </w:pPr>
            <w:r w:rsidRPr="002942D0">
              <w:rPr>
                <w:rFonts w:eastAsia="Times New Roman" w:cs="Arial"/>
                <w:b/>
                <w:bCs/>
                <w:lang w:eastAsia="en-GB"/>
              </w:rPr>
              <w:t>Closing balance</w:t>
            </w:r>
          </w:p>
        </w:tc>
        <w:tc>
          <w:tcPr>
            <w:tcW w:w="1649" w:type="dxa"/>
            <w:tcBorders>
              <w:top w:val="nil"/>
              <w:left w:val="nil"/>
              <w:bottom w:val="single" w:sz="8" w:space="0" w:color="auto"/>
              <w:right w:val="single" w:sz="8" w:space="0" w:color="auto"/>
            </w:tcBorders>
            <w:shd w:val="clear" w:color="000000" w:fill="BFBFBF"/>
            <w:vAlign w:val="center"/>
            <w:hideMark/>
          </w:tcPr>
          <w:p w14:paraId="43093165"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176.826</w:t>
            </w:r>
          </w:p>
        </w:tc>
        <w:tc>
          <w:tcPr>
            <w:tcW w:w="1569" w:type="dxa"/>
            <w:tcBorders>
              <w:top w:val="nil"/>
              <w:left w:val="nil"/>
              <w:bottom w:val="single" w:sz="8" w:space="0" w:color="auto"/>
              <w:right w:val="single" w:sz="8" w:space="0" w:color="auto"/>
            </w:tcBorders>
            <w:shd w:val="clear" w:color="000000" w:fill="BFBFBF"/>
            <w:vAlign w:val="center"/>
            <w:hideMark/>
          </w:tcPr>
          <w:p w14:paraId="52B8D5E5"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133.207</w:t>
            </w:r>
          </w:p>
        </w:tc>
        <w:tc>
          <w:tcPr>
            <w:tcW w:w="1468" w:type="dxa"/>
            <w:tcBorders>
              <w:top w:val="nil"/>
              <w:left w:val="nil"/>
              <w:bottom w:val="single" w:sz="8" w:space="0" w:color="auto"/>
              <w:right w:val="single" w:sz="8" w:space="0" w:color="auto"/>
            </w:tcBorders>
            <w:shd w:val="clear" w:color="000000" w:fill="BFBFBF"/>
            <w:vAlign w:val="center"/>
            <w:hideMark/>
          </w:tcPr>
          <w:p w14:paraId="17F282BE" w14:textId="77777777" w:rsidR="00D10794" w:rsidRPr="002942D0" w:rsidRDefault="00D10794" w:rsidP="00D10794">
            <w:pPr>
              <w:autoSpaceDE/>
              <w:autoSpaceDN/>
              <w:adjustRightInd/>
              <w:spacing w:after="0"/>
              <w:jc w:val="right"/>
              <w:rPr>
                <w:rFonts w:eastAsia="Times New Roman" w:cs="Arial"/>
                <w:b/>
                <w:bCs/>
                <w:lang w:eastAsia="en-GB"/>
              </w:rPr>
            </w:pPr>
            <w:r w:rsidRPr="002942D0">
              <w:rPr>
                <w:rFonts w:eastAsia="Times New Roman" w:cs="Arial"/>
                <w:b/>
                <w:bCs/>
                <w:lang w:eastAsia="en-GB"/>
              </w:rPr>
              <w:t>77.223</w:t>
            </w:r>
          </w:p>
        </w:tc>
      </w:tr>
    </w:tbl>
    <w:p w14:paraId="6C831CB6" w14:textId="77777777" w:rsidR="00D10794" w:rsidRPr="00C529BF" w:rsidRDefault="00D10794" w:rsidP="00D10794">
      <w:pPr>
        <w:tabs>
          <w:tab w:val="left" w:pos="567"/>
          <w:tab w:val="left" w:pos="1134"/>
        </w:tabs>
        <w:spacing w:after="0"/>
        <w:rPr>
          <w:rFonts w:cs="Arial"/>
          <w:highlight w:val="yellow"/>
        </w:rPr>
      </w:pPr>
    </w:p>
    <w:p w14:paraId="7CF15E9C" w14:textId="77777777" w:rsidR="00D10794" w:rsidRDefault="00D10794" w:rsidP="00D10794">
      <w:pPr>
        <w:tabs>
          <w:tab w:val="left" w:pos="851"/>
        </w:tabs>
        <w:spacing w:after="0"/>
        <w:rPr>
          <w:b/>
          <w:highlight w:val="yellow"/>
        </w:rPr>
      </w:pPr>
    </w:p>
    <w:p w14:paraId="52C78779" w14:textId="77777777" w:rsidR="00D10794" w:rsidRDefault="00D10794" w:rsidP="00D10794">
      <w:pPr>
        <w:tabs>
          <w:tab w:val="left" w:pos="851"/>
        </w:tabs>
        <w:spacing w:after="0"/>
        <w:rPr>
          <w:b/>
          <w:highlight w:val="yellow"/>
        </w:rPr>
      </w:pPr>
    </w:p>
    <w:p w14:paraId="4BA51016" w14:textId="77777777" w:rsidR="00D10794" w:rsidRDefault="00D10794" w:rsidP="00D10794">
      <w:pPr>
        <w:tabs>
          <w:tab w:val="left" w:pos="851"/>
        </w:tabs>
        <w:spacing w:after="0"/>
        <w:rPr>
          <w:b/>
          <w:highlight w:val="yellow"/>
        </w:rPr>
      </w:pPr>
    </w:p>
    <w:p w14:paraId="166701BF" w14:textId="77777777" w:rsidR="00D10794" w:rsidRDefault="00D10794" w:rsidP="00D10794">
      <w:pPr>
        <w:tabs>
          <w:tab w:val="left" w:pos="851"/>
        </w:tabs>
        <w:spacing w:after="0"/>
        <w:rPr>
          <w:b/>
          <w:highlight w:val="yellow"/>
        </w:rPr>
      </w:pPr>
    </w:p>
    <w:p w14:paraId="08BAC97E" w14:textId="77777777" w:rsidR="00D10794" w:rsidRDefault="00D10794" w:rsidP="00D10794">
      <w:pPr>
        <w:tabs>
          <w:tab w:val="left" w:pos="851"/>
        </w:tabs>
        <w:spacing w:after="0"/>
        <w:rPr>
          <w:b/>
          <w:highlight w:val="yellow"/>
        </w:rPr>
      </w:pPr>
    </w:p>
    <w:p w14:paraId="00D096BB" w14:textId="77777777" w:rsidR="00D10794" w:rsidRDefault="00D10794" w:rsidP="00D10794">
      <w:pPr>
        <w:tabs>
          <w:tab w:val="left" w:pos="851"/>
        </w:tabs>
        <w:spacing w:after="0"/>
        <w:rPr>
          <w:b/>
          <w:highlight w:val="yellow"/>
        </w:rPr>
      </w:pPr>
    </w:p>
    <w:p w14:paraId="5D334100" w14:textId="046FDF45" w:rsidR="00D10794" w:rsidRDefault="00D10794" w:rsidP="00D10794">
      <w:pPr>
        <w:tabs>
          <w:tab w:val="left" w:pos="851"/>
        </w:tabs>
        <w:spacing w:after="0"/>
        <w:rPr>
          <w:b/>
          <w:highlight w:val="yellow"/>
        </w:rPr>
      </w:pPr>
    </w:p>
    <w:p w14:paraId="52D51F13" w14:textId="77777777" w:rsidR="00C42640" w:rsidRDefault="00C42640" w:rsidP="00D10794">
      <w:pPr>
        <w:tabs>
          <w:tab w:val="left" w:pos="851"/>
        </w:tabs>
        <w:spacing w:after="0"/>
        <w:rPr>
          <w:b/>
          <w:highlight w:val="yellow"/>
        </w:rPr>
      </w:pPr>
    </w:p>
    <w:p w14:paraId="12517844" w14:textId="77777777" w:rsidR="00D10794" w:rsidRDefault="00D10794" w:rsidP="00D10794">
      <w:pPr>
        <w:tabs>
          <w:tab w:val="left" w:pos="851"/>
        </w:tabs>
        <w:spacing w:after="0"/>
        <w:rPr>
          <w:b/>
          <w:highlight w:val="yellow"/>
        </w:rPr>
      </w:pPr>
    </w:p>
    <w:p w14:paraId="5A7F90C8" w14:textId="77777777" w:rsidR="00D10794" w:rsidRPr="00C529BF" w:rsidRDefault="00D10794" w:rsidP="00D10794">
      <w:pPr>
        <w:tabs>
          <w:tab w:val="left" w:pos="851"/>
        </w:tabs>
        <w:spacing w:after="0"/>
        <w:rPr>
          <w:b/>
          <w:highlight w:val="yellow"/>
        </w:rPr>
      </w:pPr>
    </w:p>
    <w:p w14:paraId="6AE23ED1" w14:textId="35F24118" w:rsidR="00D10794" w:rsidRPr="00A31E59" w:rsidRDefault="00D10794" w:rsidP="00D10794">
      <w:pPr>
        <w:tabs>
          <w:tab w:val="left" w:pos="851"/>
        </w:tabs>
        <w:spacing w:after="0"/>
        <w:rPr>
          <w:b/>
        </w:rPr>
      </w:pPr>
      <w:r w:rsidRPr="00A31E59">
        <w:rPr>
          <w:b/>
        </w:rPr>
        <w:lastRenderedPageBreak/>
        <w:t>Provision for Bad and Doubtful Debts</w:t>
      </w:r>
    </w:p>
    <w:p w14:paraId="0490C2ED" w14:textId="77777777" w:rsidR="00D10794" w:rsidRPr="00C529BF" w:rsidRDefault="00D10794" w:rsidP="00D10794">
      <w:pPr>
        <w:spacing w:after="0"/>
        <w:rPr>
          <w:b/>
          <w:highlight w:val="yellow"/>
        </w:rPr>
      </w:pPr>
    </w:p>
    <w:p w14:paraId="4092C042" w14:textId="77777777" w:rsidR="00D10794" w:rsidRPr="00C529BF" w:rsidRDefault="00D10794" w:rsidP="00D10794">
      <w:pPr>
        <w:spacing w:after="0"/>
        <w:rPr>
          <w:highlight w:val="yellow"/>
        </w:rPr>
      </w:pPr>
      <w:r w:rsidRPr="00BC7F2C">
        <w:t>In addition to general provisions against known liabilities the Council maintains a provision against bad and doubtful debts.  For 2020/21 there has been a decrease in the provision of £0.785m (4.25%).</w:t>
      </w:r>
    </w:p>
    <w:p w14:paraId="58E68CBA" w14:textId="77777777" w:rsidR="00D10794" w:rsidRPr="00C529BF" w:rsidRDefault="00D10794" w:rsidP="00D10794">
      <w:pPr>
        <w:spacing w:after="0"/>
        <w:rPr>
          <w:highlight w:val="yellow"/>
        </w:rPr>
      </w:pPr>
    </w:p>
    <w:tbl>
      <w:tblPr>
        <w:tblW w:w="8931" w:type="dxa"/>
        <w:tblInd w:w="-10" w:type="dxa"/>
        <w:tblLook w:val="04A0" w:firstRow="1" w:lastRow="0" w:firstColumn="1" w:lastColumn="0" w:noHBand="0" w:noVBand="1"/>
      </w:tblPr>
      <w:tblGrid>
        <w:gridCol w:w="2835"/>
        <w:gridCol w:w="1985"/>
        <w:gridCol w:w="1984"/>
        <w:gridCol w:w="2127"/>
      </w:tblGrid>
      <w:tr w:rsidR="002F12B1" w14:paraId="4BB2CDBF" w14:textId="77777777" w:rsidTr="00D10794">
        <w:trPr>
          <w:trHeight w:val="340"/>
        </w:trPr>
        <w:tc>
          <w:tcPr>
            <w:tcW w:w="2835" w:type="dxa"/>
            <w:tcBorders>
              <w:top w:val="single" w:sz="8" w:space="0" w:color="auto"/>
              <w:left w:val="single" w:sz="8" w:space="0" w:color="auto"/>
              <w:right w:val="single" w:sz="4" w:space="0" w:color="auto"/>
            </w:tcBorders>
            <w:shd w:val="clear" w:color="000000" w:fill="BFBFBF"/>
            <w:vAlign w:val="center"/>
            <w:hideMark/>
          </w:tcPr>
          <w:p w14:paraId="1FB192DD" w14:textId="77777777" w:rsidR="00D10794" w:rsidRPr="00A31E59" w:rsidRDefault="00D10794" w:rsidP="00D10794">
            <w:pPr>
              <w:autoSpaceDE/>
              <w:autoSpaceDN/>
              <w:adjustRightInd/>
              <w:spacing w:after="0"/>
              <w:jc w:val="center"/>
              <w:rPr>
                <w:rFonts w:eastAsia="Times New Roman" w:cs="Arial"/>
                <w:b/>
                <w:bCs/>
                <w:sz w:val="22"/>
                <w:szCs w:val="22"/>
                <w:lang w:eastAsia="en-GB"/>
              </w:rPr>
            </w:pPr>
          </w:p>
        </w:tc>
        <w:tc>
          <w:tcPr>
            <w:tcW w:w="1985" w:type="dxa"/>
            <w:tcBorders>
              <w:top w:val="single" w:sz="8" w:space="0" w:color="auto"/>
              <w:left w:val="nil"/>
              <w:right w:val="single" w:sz="4" w:space="0" w:color="auto"/>
            </w:tcBorders>
            <w:shd w:val="clear" w:color="000000" w:fill="BFBFBF"/>
            <w:vAlign w:val="center"/>
            <w:hideMark/>
          </w:tcPr>
          <w:p w14:paraId="7A5BF336"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 xml:space="preserve">Opening Balance as at </w:t>
            </w:r>
            <w:r w:rsidRPr="00A31E59">
              <w:rPr>
                <w:rFonts w:eastAsia="Times New Roman" w:cs="Arial"/>
                <w:b/>
                <w:bCs/>
                <w:sz w:val="22"/>
                <w:szCs w:val="22"/>
                <w:lang w:eastAsia="en-GB"/>
              </w:rPr>
              <w:br/>
              <w:t>1 April 20</w:t>
            </w:r>
            <w:r>
              <w:rPr>
                <w:rFonts w:eastAsia="Times New Roman" w:cs="Arial"/>
                <w:b/>
                <w:bCs/>
                <w:sz w:val="22"/>
                <w:szCs w:val="22"/>
                <w:lang w:eastAsia="en-GB"/>
              </w:rPr>
              <w:t>20</w:t>
            </w:r>
          </w:p>
        </w:tc>
        <w:tc>
          <w:tcPr>
            <w:tcW w:w="1984" w:type="dxa"/>
            <w:tcBorders>
              <w:top w:val="single" w:sz="8" w:space="0" w:color="auto"/>
              <w:left w:val="nil"/>
              <w:right w:val="single" w:sz="4" w:space="0" w:color="auto"/>
            </w:tcBorders>
            <w:shd w:val="clear" w:color="000000" w:fill="BFBFBF"/>
            <w:vAlign w:val="center"/>
            <w:hideMark/>
          </w:tcPr>
          <w:p w14:paraId="348E5109"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In Year Changes</w:t>
            </w:r>
          </w:p>
        </w:tc>
        <w:tc>
          <w:tcPr>
            <w:tcW w:w="2127" w:type="dxa"/>
            <w:tcBorders>
              <w:top w:val="single" w:sz="8" w:space="0" w:color="auto"/>
              <w:left w:val="nil"/>
              <w:right w:val="single" w:sz="4" w:space="0" w:color="auto"/>
            </w:tcBorders>
            <w:shd w:val="clear" w:color="000000" w:fill="BFBFBF"/>
            <w:vAlign w:val="center"/>
            <w:hideMark/>
          </w:tcPr>
          <w:p w14:paraId="52C787D5"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 xml:space="preserve">Closing Balance as at </w:t>
            </w:r>
            <w:r w:rsidRPr="00A31E59">
              <w:rPr>
                <w:rFonts w:eastAsia="Times New Roman" w:cs="Arial"/>
                <w:b/>
                <w:bCs/>
                <w:sz w:val="22"/>
                <w:szCs w:val="22"/>
                <w:lang w:eastAsia="en-GB"/>
              </w:rPr>
              <w:br/>
              <w:t>31st March 202</w:t>
            </w:r>
            <w:r>
              <w:rPr>
                <w:rFonts w:eastAsia="Times New Roman" w:cs="Arial"/>
                <w:b/>
                <w:bCs/>
                <w:sz w:val="22"/>
                <w:szCs w:val="22"/>
                <w:lang w:eastAsia="en-GB"/>
              </w:rPr>
              <w:t>1</w:t>
            </w:r>
          </w:p>
        </w:tc>
      </w:tr>
      <w:tr w:rsidR="002F12B1" w14:paraId="2BB138F0" w14:textId="77777777" w:rsidTr="00D10794">
        <w:trPr>
          <w:trHeight w:val="340"/>
        </w:trPr>
        <w:tc>
          <w:tcPr>
            <w:tcW w:w="2835" w:type="dxa"/>
            <w:tcBorders>
              <w:top w:val="nil"/>
              <w:left w:val="single" w:sz="8" w:space="0" w:color="auto"/>
              <w:bottom w:val="single" w:sz="4" w:space="0" w:color="auto"/>
              <w:right w:val="single" w:sz="4" w:space="0" w:color="auto"/>
            </w:tcBorders>
            <w:shd w:val="clear" w:color="000000" w:fill="BFBFBF"/>
            <w:vAlign w:val="bottom"/>
            <w:hideMark/>
          </w:tcPr>
          <w:p w14:paraId="258BEA49" w14:textId="77777777" w:rsidR="00D10794" w:rsidRPr="00A31E59" w:rsidRDefault="00D10794" w:rsidP="00D10794">
            <w:pPr>
              <w:autoSpaceDE/>
              <w:autoSpaceDN/>
              <w:adjustRightInd/>
              <w:spacing w:after="0"/>
              <w:jc w:val="left"/>
              <w:rPr>
                <w:rFonts w:eastAsia="Times New Roman" w:cs="Arial"/>
                <w:sz w:val="22"/>
                <w:szCs w:val="22"/>
                <w:lang w:eastAsia="en-GB"/>
              </w:rPr>
            </w:pPr>
            <w:r w:rsidRPr="00A31E59">
              <w:rPr>
                <w:rFonts w:eastAsia="Times New Roman" w:cs="Arial"/>
                <w:sz w:val="22"/>
                <w:szCs w:val="22"/>
                <w:lang w:eastAsia="en-GB"/>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03A7BA74"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£m</w:t>
            </w:r>
          </w:p>
        </w:tc>
        <w:tc>
          <w:tcPr>
            <w:tcW w:w="1984" w:type="dxa"/>
            <w:tcBorders>
              <w:top w:val="nil"/>
              <w:left w:val="nil"/>
              <w:bottom w:val="single" w:sz="4" w:space="0" w:color="auto"/>
              <w:right w:val="single" w:sz="4" w:space="0" w:color="auto"/>
            </w:tcBorders>
            <w:shd w:val="clear" w:color="000000" w:fill="BFBFBF"/>
            <w:noWrap/>
            <w:vAlign w:val="center"/>
            <w:hideMark/>
          </w:tcPr>
          <w:p w14:paraId="54A8B600"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£m</w:t>
            </w:r>
          </w:p>
        </w:tc>
        <w:tc>
          <w:tcPr>
            <w:tcW w:w="2127" w:type="dxa"/>
            <w:tcBorders>
              <w:top w:val="nil"/>
              <w:left w:val="nil"/>
              <w:bottom w:val="single" w:sz="4" w:space="0" w:color="auto"/>
              <w:right w:val="single" w:sz="4" w:space="0" w:color="auto"/>
            </w:tcBorders>
            <w:shd w:val="clear" w:color="000000" w:fill="BFBFBF"/>
            <w:noWrap/>
            <w:vAlign w:val="center"/>
            <w:hideMark/>
          </w:tcPr>
          <w:p w14:paraId="675B113D" w14:textId="77777777" w:rsidR="00D10794" w:rsidRPr="00A31E59" w:rsidRDefault="00D10794" w:rsidP="00D10794">
            <w:pPr>
              <w:autoSpaceDE/>
              <w:autoSpaceDN/>
              <w:adjustRightInd/>
              <w:spacing w:after="0"/>
              <w:jc w:val="center"/>
              <w:rPr>
                <w:rFonts w:eastAsia="Times New Roman" w:cs="Arial"/>
                <w:b/>
                <w:bCs/>
                <w:sz w:val="22"/>
                <w:szCs w:val="22"/>
                <w:lang w:eastAsia="en-GB"/>
              </w:rPr>
            </w:pPr>
            <w:r w:rsidRPr="00A31E59">
              <w:rPr>
                <w:rFonts w:eastAsia="Times New Roman" w:cs="Arial"/>
                <w:b/>
                <w:bCs/>
                <w:sz w:val="22"/>
                <w:szCs w:val="22"/>
                <w:lang w:eastAsia="en-GB"/>
              </w:rPr>
              <w:t>£m</w:t>
            </w:r>
          </w:p>
        </w:tc>
      </w:tr>
      <w:tr w:rsidR="002F12B1" w14:paraId="404160AE" w14:textId="77777777" w:rsidTr="00D10794">
        <w:trPr>
          <w:trHeight w:val="340"/>
        </w:trPr>
        <w:tc>
          <w:tcPr>
            <w:tcW w:w="2835" w:type="dxa"/>
            <w:tcBorders>
              <w:top w:val="nil"/>
              <w:left w:val="single" w:sz="8" w:space="0" w:color="auto"/>
              <w:bottom w:val="single" w:sz="4" w:space="0" w:color="auto"/>
              <w:right w:val="single" w:sz="4" w:space="0" w:color="auto"/>
            </w:tcBorders>
            <w:shd w:val="clear" w:color="auto" w:fill="auto"/>
            <w:vAlign w:val="center"/>
            <w:hideMark/>
          </w:tcPr>
          <w:p w14:paraId="48E2189E" w14:textId="77777777" w:rsidR="00D10794" w:rsidRPr="00A31E59" w:rsidRDefault="00D10794" w:rsidP="00D10794">
            <w:pPr>
              <w:autoSpaceDE/>
              <w:autoSpaceDN/>
              <w:adjustRightInd/>
              <w:spacing w:after="0"/>
              <w:jc w:val="left"/>
              <w:rPr>
                <w:rFonts w:eastAsia="Times New Roman" w:cs="Arial"/>
                <w:sz w:val="22"/>
                <w:szCs w:val="22"/>
                <w:lang w:eastAsia="en-GB"/>
              </w:rPr>
            </w:pPr>
            <w:r w:rsidRPr="00A31E59">
              <w:rPr>
                <w:rFonts w:eastAsia="Times New Roman" w:cs="Arial"/>
                <w:sz w:val="22"/>
                <w:szCs w:val="22"/>
                <w:lang w:eastAsia="en-GB"/>
              </w:rPr>
              <w:t>Corporate Bad Debt Provision</w:t>
            </w:r>
          </w:p>
        </w:tc>
        <w:tc>
          <w:tcPr>
            <w:tcW w:w="1985" w:type="dxa"/>
            <w:tcBorders>
              <w:top w:val="nil"/>
              <w:left w:val="nil"/>
              <w:bottom w:val="single" w:sz="4" w:space="0" w:color="auto"/>
              <w:right w:val="single" w:sz="4" w:space="0" w:color="auto"/>
            </w:tcBorders>
            <w:shd w:val="clear" w:color="auto" w:fill="auto"/>
            <w:noWrap/>
            <w:vAlign w:val="center"/>
            <w:hideMark/>
          </w:tcPr>
          <w:p w14:paraId="24D73F8A" w14:textId="77777777" w:rsidR="00D10794" w:rsidRPr="00A31E59" w:rsidRDefault="00D10794" w:rsidP="00D10794">
            <w:pPr>
              <w:autoSpaceDE/>
              <w:autoSpaceDN/>
              <w:adjustRightInd/>
              <w:spacing w:after="0"/>
              <w:jc w:val="center"/>
              <w:rPr>
                <w:rFonts w:eastAsia="Times New Roman" w:cs="Arial"/>
                <w:sz w:val="22"/>
                <w:szCs w:val="22"/>
                <w:lang w:eastAsia="en-GB"/>
              </w:rPr>
            </w:pPr>
            <w:r w:rsidRPr="00A31E59">
              <w:rPr>
                <w:rFonts w:eastAsia="Times New Roman" w:cs="Arial"/>
                <w:sz w:val="22"/>
                <w:szCs w:val="22"/>
                <w:lang w:eastAsia="en-GB"/>
              </w:rPr>
              <w:t>-18.</w:t>
            </w:r>
            <w:r>
              <w:rPr>
                <w:rFonts w:eastAsia="Times New Roman" w:cs="Arial"/>
                <w:sz w:val="22"/>
                <w:szCs w:val="22"/>
                <w:lang w:eastAsia="en-GB"/>
              </w:rPr>
              <w:t>453</w:t>
            </w:r>
          </w:p>
        </w:tc>
        <w:tc>
          <w:tcPr>
            <w:tcW w:w="1984" w:type="dxa"/>
            <w:tcBorders>
              <w:top w:val="nil"/>
              <w:left w:val="nil"/>
              <w:bottom w:val="single" w:sz="4" w:space="0" w:color="auto"/>
              <w:right w:val="single" w:sz="4" w:space="0" w:color="auto"/>
            </w:tcBorders>
            <w:shd w:val="clear" w:color="auto" w:fill="auto"/>
            <w:noWrap/>
            <w:vAlign w:val="center"/>
            <w:hideMark/>
          </w:tcPr>
          <w:p w14:paraId="70AD5850" w14:textId="77777777" w:rsidR="00D10794" w:rsidRPr="00A31E59" w:rsidRDefault="00D10794" w:rsidP="00D10794">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0.785</w:t>
            </w:r>
          </w:p>
        </w:tc>
        <w:tc>
          <w:tcPr>
            <w:tcW w:w="2127" w:type="dxa"/>
            <w:tcBorders>
              <w:top w:val="nil"/>
              <w:left w:val="nil"/>
              <w:bottom w:val="single" w:sz="4" w:space="0" w:color="auto"/>
              <w:right w:val="single" w:sz="4" w:space="0" w:color="auto"/>
            </w:tcBorders>
            <w:shd w:val="clear" w:color="auto" w:fill="auto"/>
            <w:noWrap/>
            <w:vAlign w:val="center"/>
            <w:hideMark/>
          </w:tcPr>
          <w:p w14:paraId="4521E455" w14:textId="77777777" w:rsidR="00D10794" w:rsidRPr="00A31E59" w:rsidRDefault="00D10794" w:rsidP="00D10794">
            <w:pPr>
              <w:autoSpaceDE/>
              <w:autoSpaceDN/>
              <w:adjustRightInd/>
              <w:spacing w:after="0"/>
              <w:jc w:val="center"/>
              <w:rPr>
                <w:rFonts w:eastAsia="Times New Roman" w:cs="Arial"/>
                <w:sz w:val="22"/>
                <w:szCs w:val="22"/>
                <w:lang w:eastAsia="en-GB"/>
              </w:rPr>
            </w:pPr>
            <w:r w:rsidRPr="00A31E59">
              <w:rPr>
                <w:rFonts w:eastAsia="Times New Roman" w:cs="Arial"/>
                <w:sz w:val="22"/>
                <w:szCs w:val="22"/>
                <w:lang w:eastAsia="en-GB"/>
              </w:rPr>
              <w:t>-</w:t>
            </w:r>
            <w:r>
              <w:rPr>
                <w:rFonts w:eastAsia="Times New Roman" w:cs="Arial"/>
                <w:sz w:val="22"/>
                <w:szCs w:val="22"/>
                <w:lang w:eastAsia="en-GB"/>
              </w:rPr>
              <w:t>17.668</w:t>
            </w:r>
          </w:p>
        </w:tc>
      </w:tr>
    </w:tbl>
    <w:p w14:paraId="2726B7D9" w14:textId="77777777" w:rsidR="00D10794" w:rsidRPr="00C529BF" w:rsidRDefault="00D10794" w:rsidP="00D10794">
      <w:pPr>
        <w:spacing w:after="0"/>
        <w:rPr>
          <w:highlight w:val="yellow"/>
        </w:rPr>
      </w:pPr>
    </w:p>
    <w:p w14:paraId="1367C1FF" w14:textId="77777777" w:rsidR="00D10794" w:rsidRPr="00C529BF" w:rsidRDefault="00D10794" w:rsidP="00D10794">
      <w:pPr>
        <w:autoSpaceDE/>
        <w:autoSpaceDN/>
        <w:adjustRightInd/>
        <w:spacing w:after="0"/>
        <w:rPr>
          <w:highlight w:val="yellow"/>
        </w:rPr>
      </w:pPr>
    </w:p>
    <w:p w14:paraId="0E8A1607" w14:textId="77777777" w:rsidR="00D10794" w:rsidRPr="00C529BF" w:rsidRDefault="00D10794" w:rsidP="00D10794">
      <w:pPr>
        <w:autoSpaceDE/>
        <w:autoSpaceDN/>
        <w:adjustRightInd/>
        <w:spacing w:after="0"/>
        <w:rPr>
          <w:b/>
          <w:highlight w:val="yellow"/>
        </w:rPr>
      </w:pPr>
      <w:r w:rsidRPr="00C529BF">
        <w:rPr>
          <w:b/>
          <w:highlight w:val="yellow"/>
        </w:rPr>
        <w:br w:type="page"/>
      </w:r>
    </w:p>
    <w:p w14:paraId="627BBB78" w14:textId="36B5D4E4" w:rsidR="00D10794" w:rsidRPr="00A31E59" w:rsidRDefault="00D10794" w:rsidP="00D10794">
      <w:pPr>
        <w:tabs>
          <w:tab w:val="left" w:pos="851"/>
        </w:tabs>
        <w:spacing w:after="0"/>
        <w:rPr>
          <w:b/>
        </w:rPr>
      </w:pPr>
      <w:r w:rsidRPr="00A31E59">
        <w:rPr>
          <w:b/>
        </w:rPr>
        <w:lastRenderedPageBreak/>
        <w:t>General Provisions</w:t>
      </w:r>
    </w:p>
    <w:p w14:paraId="3FD3DBE3" w14:textId="77777777" w:rsidR="00D10794" w:rsidRPr="00A31E59" w:rsidRDefault="00D10794" w:rsidP="00D10794">
      <w:pPr>
        <w:spacing w:after="0"/>
        <w:rPr>
          <w:b/>
        </w:rPr>
      </w:pPr>
    </w:p>
    <w:p w14:paraId="3DA75F84" w14:textId="77777777" w:rsidR="00D10794" w:rsidRPr="00A31E59" w:rsidRDefault="00D10794" w:rsidP="00D10794">
      <w:pPr>
        <w:spacing w:after="0"/>
      </w:pPr>
      <w:r w:rsidRPr="00A31E59">
        <w:t>General Provisions which are set aside for specifically quantified liabilities such as insurance claims. Movements in general provisions are summarised in the table below:</w:t>
      </w:r>
    </w:p>
    <w:tbl>
      <w:tblPr>
        <w:tblW w:w="9214" w:type="dxa"/>
        <w:tblInd w:w="-10" w:type="dxa"/>
        <w:tblLook w:val="04A0" w:firstRow="1" w:lastRow="0" w:firstColumn="1" w:lastColumn="0" w:noHBand="0" w:noVBand="1"/>
      </w:tblPr>
      <w:tblGrid>
        <w:gridCol w:w="3828"/>
        <w:gridCol w:w="1842"/>
        <w:gridCol w:w="1701"/>
        <w:gridCol w:w="1843"/>
      </w:tblGrid>
      <w:tr w:rsidR="002F12B1" w14:paraId="7525576D" w14:textId="77777777" w:rsidTr="00D10794">
        <w:trPr>
          <w:trHeight w:val="1125"/>
        </w:trPr>
        <w:tc>
          <w:tcPr>
            <w:tcW w:w="3828" w:type="dxa"/>
            <w:tcBorders>
              <w:top w:val="single" w:sz="8" w:space="0" w:color="auto"/>
              <w:left w:val="single" w:sz="8" w:space="0" w:color="auto"/>
              <w:right w:val="single" w:sz="4" w:space="0" w:color="auto"/>
            </w:tcBorders>
            <w:shd w:val="clear" w:color="000000" w:fill="BFBFBF"/>
            <w:vAlign w:val="center"/>
            <w:hideMark/>
          </w:tcPr>
          <w:p w14:paraId="590832CD" w14:textId="77777777" w:rsidR="00D10794" w:rsidRPr="00A31E59" w:rsidRDefault="00D10794" w:rsidP="00D10794">
            <w:pPr>
              <w:rPr>
                <w:b/>
                <w:bCs/>
              </w:rPr>
            </w:pPr>
          </w:p>
        </w:tc>
        <w:tc>
          <w:tcPr>
            <w:tcW w:w="1842" w:type="dxa"/>
            <w:tcBorders>
              <w:top w:val="single" w:sz="8" w:space="0" w:color="auto"/>
              <w:left w:val="nil"/>
              <w:right w:val="single" w:sz="4" w:space="0" w:color="auto"/>
            </w:tcBorders>
            <w:shd w:val="clear" w:color="000000" w:fill="BFBFBF"/>
            <w:vAlign w:val="center"/>
            <w:hideMark/>
          </w:tcPr>
          <w:p w14:paraId="2A91D93C" w14:textId="77777777" w:rsidR="00D10794" w:rsidRPr="00A31E59" w:rsidRDefault="00D10794" w:rsidP="00D10794">
            <w:pPr>
              <w:jc w:val="center"/>
              <w:rPr>
                <w:b/>
                <w:bCs/>
              </w:rPr>
            </w:pPr>
            <w:r w:rsidRPr="00A31E59">
              <w:rPr>
                <w:b/>
                <w:bCs/>
              </w:rPr>
              <w:t>Opening Balance as at 1 April 2020</w:t>
            </w:r>
          </w:p>
        </w:tc>
        <w:tc>
          <w:tcPr>
            <w:tcW w:w="1701" w:type="dxa"/>
            <w:tcBorders>
              <w:top w:val="single" w:sz="8" w:space="0" w:color="auto"/>
              <w:left w:val="nil"/>
              <w:right w:val="single" w:sz="4" w:space="0" w:color="auto"/>
            </w:tcBorders>
            <w:shd w:val="clear" w:color="000000" w:fill="BFBFBF"/>
            <w:vAlign w:val="center"/>
            <w:hideMark/>
          </w:tcPr>
          <w:p w14:paraId="3847A8D1" w14:textId="77777777" w:rsidR="00D10794" w:rsidRPr="00A31E59" w:rsidRDefault="00D10794" w:rsidP="00D10794">
            <w:pPr>
              <w:jc w:val="center"/>
              <w:rPr>
                <w:b/>
                <w:bCs/>
              </w:rPr>
            </w:pPr>
            <w:r w:rsidRPr="00A31E59">
              <w:rPr>
                <w:b/>
                <w:bCs/>
              </w:rPr>
              <w:t>In Year Changes</w:t>
            </w:r>
          </w:p>
        </w:tc>
        <w:tc>
          <w:tcPr>
            <w:tcW w:w="1843" w:type="dxa"/>
            <w:tcBorders>
              <w:top w:val="single" w:sz="8" w:space="0" w:color="auto"/>
              <w:left w:val="nil"/>
              <w:right w:val="single" w:sz="4" w:space="0" w:color="auto"/>
            </w:tcBorders>
            <w:shd w:val="clear" w:color="000000" w:fill="BFBFBF"/>
            <w:vAlign w:val="center"/>
            <w:hideMark/>
          </w:tcPr>
          <w:p w14:paraId="3024217C" w14:textId="77777777" w:rsidR="00D10794" w:rsidRPr="00A31E59" w:rsidRDefault="00D10794" w:rsidP="00D10794">
            <w:pPr>
              <w:jc w:val="center"/>
              <w:rPr>
                <w:b/>
                <w:bCs/>
              </w:rPr>
            </w:pPr>
            <w:r w:rsidRPr="00A31E59">
              <w:rPr>
                <w:b/>
                <w:bCs/>
              </w:rPr>
              <w:t>Closing Balance as at 31st March 2021</w:t>
            </w:r>
          </w:p>
        </w:tc>
      </w:tr>
      <w:tr w:rsidR="002F12B1" w14:paraId="11C480E8" w14:textId="77777777" w:rsidTr="00D10794">
        <w:trPr>
          <w:trHeight w:val="255"/>
        </w:trPr>
        <w:tc>
          <w:tcPr>
            <w:tcW w:w="3828" w:type="dxa"/>
            <w:tcBorders>
              <w:top w:val="nil"/>
              <w:left w:val="single" w:sz="8" w:space="0" w:color="auto"/>
              <w:bottom w:val="single" w:sz="4" w:space="0" w:color="auto"/>
              <w:right w:val="single" w:sz="4" w:space="0" w:color="auto"/>
            </w:tcBorders>
            <w:shd w:val="clear" w:color="000000" w:fill="BFBFBF"/>
            <w:vAlign w:val="bottom"/>
            <w:hideMark/>
          </w:tcPr>
          <w:p w14:paraId="3497F872" w14:textId="77777777" w:rsidR="00D10794" w:rsidRPr="00A31E59" w:rsidRDefault="00D10794" w:rsidP="00D10794">
            <w:r w:rsidRPr="00A31E59">
              <w:t> </w:t>
            </w:r>
          </w:p>
        </w:tc>
        <w:tc>
          <w:tcPr>
            <w:tcW w:w="1842" w:type="dxa"/>
            <w:tcBorders>
              <w:top w:val="nil"/>
              <w:left w:val="nil"/>
              <w:bottom w:val="single" w:sz="4" w:space="0" w:color="auto"/>
              <w:right w:val="single" w:sz="4" w:space="0" w:color="auto"/>
            </w:tcBorders>
            <w:shd w:val="clear" w:color="000000" w:fill="BFBFBF"/>
            <w:noWrap/>
            <w:vAlign w:val="bottom"/>
            <w:hideMark/>
          </w:tcPr>
          <w:p w14:paraId="4522ED07" w14:textId="77777777" w:rsidR="00D10794" w:rsidRPr="00A31E59" w:rsidRDefault="00D10794" w:rsidP="00D10794">
            <w:pPr>
              <w:jc w:val="center"/>
              <w:rPr>
                <w:b/>
                <w:bCs/>
              </w:rPr>
            </w:pPr>
            <w:r w:rsidRPr="00A31E59">
              <w:rPr>
                <w:b/>
                <w:bCs/>
              </w:rPr>
              <w:t>£m</w:t>
            </w:r>
          </w:p>
        </w:tc>
        <w:tc>
          <w:tcPr>
            <w:tcW w:w="1701" w:type="dxa"/>
            <w:tcBorders>
              <w:top w:val="nil"/>
              <w:left w:val="nil"/>
              <w:bottom w:val="single" w:sz="4" w:space="0" w:color="auto"/>
              <w:right w:val="single" w:sz="4" w:space="0" w:color="auto"/>
            </w:tcBorders>
            <w:shd w:val="clear" w:color="000000" w:fill="BFBFBF"/>
            <w:noWrap/>
            <w:vAlign w:val="center"/>
            <w:hideMark/>
          </w:tcPr>
          <w:p w14:paraId="67EC078C" w14:textId="77777777" w:rsidR="00D10794" w:rsidRPr="00A31E59" w:rsidRDefault="00D10794" w:rsidP="00D10794">
            <w:pPr>
              <w:jc w:val="center"/>
              <w:rPr>
                <w:b/>
                <w:bCs/>
              </w:rPr>
            </w:pPr>
            <w:r w:rsidRPr="00A31E59">
              <w:rPr>
                <w:b/>
                <w:bCs/>
              </w:rPr>
              <w:t>£m</w:t>
            </w:r>
          </w:p>
        </w:tc>
        <w:tc>
          <w:tcPr>
            <w:tcW w:w="1843" w:type="dxa"/>
            <w:tcBorders>
              <w:top w:val="nil"/>
              <w:left w:val="nil"/>
              <w:bottom w:val="single" w:sz="4" w:space="0" w:color="auto"/>
              <w:right w:val="single" w:sz="4" w:space="0" w:color="auto"/>
            </w:tcBorders>
            <w:shd w:val="clear" w:color="000000" w:fill="BFBFBF"/>
            <w:noWrap/>
            <w:vAlign w:val="center"/>
            <w:hideMark/>
          </w:tcPr>
          <w:p w14:paraId="64EA762D" w14:textId="77777777" w:rsidR="00D10794" w:rsidRPr="00A31E59" w:rsidRDefault="00D10794" w:rsidP="00D10794">
            <w:pPr>
              <w:jc w:val="center"/>
              <w:rPr>
                <w:b/>
                <w:bCs/>
              </w:rPr>
            </w:pPr>
            <w:r w:rsidRPr="00A31E59">
              <w:rPr>
                <w:b/>
                <w:bCs/>
              </w:rPr>
              <w:t>£m</w:t>
            </w:r>
          </w:p>
        </w:tc>
      </w:tr>
      <w:tr w:rsidR="002F12B1" w14:paraId="0CC7FF11"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3A91EE9E" w14:textId="77777777" w:rsidR="00D10794" w:rsidRPr="00A31E59" w:rsidRDefault="00D10794" w:rsidP="00D10794">
            <w:r w:rsidRPr="00A31E59">
              <w:t>Adult Services - Safeguarding</w:t>
            </w:r>
          </w:p>
        </w:tc>
        <w:tc>
          <w:tcPr>
            <w:tcW w:w="1842" w:type="dxa"/>
            <w:tcBorders>
              <w:top w:val="nil"/>
              <w:left w:val="nil"/>
              <w:bottom w:val="single" w:sz="4" w:space="0" w:color="auto"/>
              <w:right w:val="single" w:sz="4" w:space="0" w:color="auto"/>
            </w:tcBorders>
            <w:shd w:val="clear" w:color="auto" w:fill="auto"/>
            <w:noWrap/>
            <w:vAlign w:val="center"/>
            <w:hideMark/>
          </w:tcPr>
          <w:p w14:paraId="0B7BEEEE" w14:textId="77777777" w:rsidR="00D10794" w:rsidRPr="00A31E59" w:rsidRDefault="00D10794" w:rsidP="00D10794">
            <w:pPr>
              <w:jc w:val="right"/>
            </w:pPr>
            <w:r w:rsidRPr="00A31E59">
              <w:t>-1.000</w:t>
            </w:r>
          </w:p>
        </w:tc>
        <w:tc>
          <w:tcPr>
            <w:tcW w:w="1701" w:type="dxa"/>
            <w:tcBorders>
              <w:top w:val="nil"/>
              <w:left w:val="nil"/>
              <w:bottom w:val="single" w:sz="4" w:space="0" w:color="auto"/>
              <w:right w:val="single" w:sz="4" w:space="0" w:color="auto"/>
            </w:tcBorders>
            <w:shd w:val="clear" w:color="auto" w:fill="auto"/>
            <w:noWrap/>
            <w:vAlign w:val="center"/>
            <w:hideMark/>
          </w:tcPr>
          <w:p w14:paraId="2C89D789" w14:textId="77777777" w:rsidR="00D10794" w:rsidRPr="00A31E59" w:rsidRDefault="00D10794" w:rsidP="00D10794">
            <w:pPr>
              <w:jc w:val="right"/>
            </w:pPr>
            <w:r w:rsidRPr="00A31E59">
              <w:t>0.0</w:t>
            </w:r>
            <w:r>
              <w:t>32</w:t>
            </w:r>
          </w:p>
        </w:tc>
        <w:tc>
          <w:tcPr>
            <w:tcW w:w="1843" w:type="dxa"/>
            <w:tcBorders>
              <w:top w:val="nil"/>
              <w:left w:val="nil"/>
              <w:bottom w:val="single" w:sz="4" w:space="0" w:color="auto"/>
              <w:right w:val="single" w:sz="4" w:space="0" w:color="auto"/>
            </w:tcBorders>
            <w:shd w:val="clear" w:color="auto" w:fill="auto"/>
            <w:noWrap/>
            <w:vAlign w:val="center"/>
            <w:hideMark/>
          </w:tcPr>
          <w:p w14:paraId="3F1E69A7" w14:textId="77777777" w:rsidR="00D10794" w:rsidRPr="00A31E59" w:rsidRDefault="00D10794" w:rsidP="00D10794">
            <w:pPr>
              <w:jc w:val="right"/>
            </w:pPr>
            <w:r w:rsidRPr="00A31E59">
              <w:t>-</w:t>
            </w:r>
            <w:r>
              <w:t>0.968</w:t>
            </w:r>
          </w:p>
        </w:tc>
      </w:tr>
      <w:tr w:rsidR="002F12B1" w14:paraId="72DC764A"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6F90E905" w14:textId="77777777" w:rsidR="00D10794" w:rsidRPr="00A31E59" w:rsidRDefault="00D10794" w:rsidP="00D10794">
            <w:r w:rsidRPr="00A31E59">
              <w:t>Adult Services – General</w:t>
            </w:r>
          </w:p>
        </w:tc>
        <w:tc>
          <w:tcPr>
            <w:tcW w:w="1842" w:type="dxa"/>
            <w:tcBorders>
              <w:top w:val="nil"/>
              <w:left w:val="nil"/>
              <w:bottom w:val="single" w:sz="4" w:space="0" w:color="auto"/>
              <w:right w:val="single" w:sz="4" w:space="0" w:color="auto"/>
            </w:tcBorders>
            <w:shd w:val="clear" w:color="auto" w:fill="auto"/>
            <w:noWrap/>
            <w:vAlign w:val="center"/>
          </w:tcPr>
          <w:p w14:paraId="25484759" w14:textId="77777777" w:rsidR="00D10794" w:rsidRPr="00A31E59" w:rsidRDefault="00D10794" w:rsidP="00D10794">
            <w:pPr>
              <w:jc w:val="right"/>
            </w:pPr>
            <w:r w:rsidRPr="00A31E59">
              <w:t>-</w:t>
            </w:r>
            <w:r>
              <w:t>1.852</w:t>
            </w:r>
          </w:p>
        </w:tc>
        <w:tc>
          <w:tcPr>
            <w:tcW w:w="1701" w:type="dxa"/>
            <w:tcBorders>
              <w:top w:val="nil"/>
              <w:left w:val="nil"/>
              <w:bottom w:val="single" w:sz="4" w:space="0" w:color="auto"/>
              <w:right w:val="single" w:sz="4" w:space="0" w:color="auto"/>
            </w:tcBorders>
            <w:shd w:val="clear" w:color="auto" w:fill="auto"/>
            <w:noWrap/>
            <w:vAlign w:val="center"/>
          </w:tcPr>
          <w:p w14:paraId="60E5F5C6" w14:textId="77777777" w:rsidR="00D10794" w:rsidRPr="00A31E59" w:rsidRDefault="00D10794" w:rsidP="00D10794">
            <w:pPr>
              <w:jc w:val="right"/>
            </w:pPr>
            <w:r w:rsidRPr="00A31E59">
              <w:t>0.</w:t>
            </w:r>
            <w:r>
              <w:t>000</w:t>
            </w:r>
          </w:p>
        </w:tc>
        <w:tc>
          <w:tcPr>
            <w:tcW w:w="1843" w:type="dxa"/>
            <w:tcBorders>
              <w:top w:val="nil"/>
              <w:left w:val="nil"/>
              <w:bottom w:val="single" w:sz="4" w:space="0" w:color="auto"/>
              <w:right w:val="single" w:sz="4" w:space="0" w:color="auto"/>
            </w:tcBorders>
            <w:shd w:val="clear" w:color="auto" w:fill="auto"/>
            <w:noWrap/>
            <w:vAlign w:val="center"/>
          </w:tcPr>
          <w:p w14:paraId="7112A1F7" w14:textId="77777777" w:rsidR="00D10794" w:rsidRPr="00A31E59" w:rsidRDefault="00D10794" w:rsidP="00D10794">
            <w:pPr>
              <w:jc w:val="right"/>
            </w:pPr>
            <w:r w:rsidRPr="00A31E59">
              <w:t>-1.852</w:t>
            </w:r>
          </w:p>
        </w:tc>
      </w:tr>
      <w:tr w:rsidR="002F12B1" w14:paraId="54D4F820"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0EB2F4F0" w14:textId="77777777" w:rsidR="00D10794" w:rsidRPr="00A31E59" w:rsidRDefault="00D10794" w:rsidP="00D10794">
            <w:r w:rsidRPr="00A31E59">
              <w:t>Financial Resources</w:t>
            </w:r>
          </w:p>
        </w:tc>
        <w:tc>
          <w:tcPr>
            <w:tcW w:w="1842" w:type="dxa"/>
            <w:tcBorders>
              <w:top w:val="nil"/>
              <w:left w:val="nil"/>
              <w:bottom w:val="single" w:sz="4" w:space="0" w:color="auto"/>
              <w:right w:val="single" w:sz="4" w:space="0" w:color="auto"/>
            </w:tcBorders>
            <w:shd w:val="clear" w:color="auto" w:fill="auto"/>
            <w:noWrap/>
            <w:vAlign w:val="center"/>
          </w:tcPr>
          <w:p w14:paraId="026B5F00" w14:textId="77777777" w:rsidR="00D10794" w:rsidRPr="00A31E59" w:rsidRDefault="00D10794" w:rsidP="00D10794">
            <w:pPr>
              <w:jc w:val="right"/>
            </w:pPr>
            <w:r w:rsidRPr="00A31E59">
              <w:t>-0.</w:t>
            </w:r>
            <w:r>
              <w:t>128</w:t>
            </w:r>
          </w:p>
        </w:tc>
        <w:tc>
          <w:tcPr>
            <w:tcW w:w="1701" w:type="dxa"/>
            <w:tcBorders>
              <w:top w:val="nil"/>
              <w:left w:val="nil"/>
              <w:bottom w:val="single" w:sz="4" w:space="0" w:color="auto"/>
              <w:right w:val="single" w:sz="4" w:space="0" w:color="auto"/>
            </w:tcBorders>
            <w:shd w:val="clear" w:color="auto" w:fill="auto"/>
            <w:noWrap/>
            <w:vAlign w:val="center"/>
          </w:tcPr>
          <w:p w14:paraId="6C28453C" w14:textId="77777777" w:rsidR="00D10794" w:rsidRPr="00A31E59" w:rsidRDefault="00D10794" w:rsidP="00D10794">
            <w:pPr>
              <w:jc w:val="right"/>
            </w:pPr>
            <w:r>
              <w:t>0.084</w:t>
            </w:r>
          </w:p>
        </w:tc>
        <w:tc>
          <w:tcPr>
            <w:tcW w:w="1843" w:type="dxa"/>
            <w:tcBorders>
              <w:top w:val="nil"/>
              <w:left w:val="nil"/>
              <w:bottom w:val="single" w:sz="4" w:space="0" w:color="auto"/>
              <w:right w:val="single" w:sz="4" w:space="0" w:color="auto"/>
            </w:tcBorders>
            <w:shd w:val="clear" w:color="auto" w:fill="auto"/>
            <w:noWrap/>
            <w:vAlign w:val="center"/>
          </w:tcPr>
          <w:p w14:paraId="5FF4FE84" w14:textId="77777777" w:rsidR="00D10794" w:rsidRPr="00A31E59" w:rsidRDefault="00D10794" w:rsidP="00D10794">
            <w:pPr>
              <w:jc w:val="right"/>
            </w:pPr>
            <w:r w:rsidRPr="00A31E59">
              <w:t>-0.</w:t>
            </w:r>
            <w:r>
              <w:t>044</w:t>
            </w:r>
          </w:p>
        </w:tc>
      </w:tr>
      <w:tr w:rsidR="002F12B1" w14:paraId="7EC45948"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093FCC3B" w14:textId="77777777" w:rsidR="00D10794" w:rsidRPr="00A31E59" w:rsidRDefault="00D10794" w:rsidP="00D10794">
            <w:r w:rsidRPr="00A31E59">
              <w:t>Schools Catering</w:t>
            </w:r>
          </w:p>
        </w:tc>
        <w:tc>
          <w:tcPr>
            <w:tcW w:w="1842" w:type="dxa"/>
            <w:tcBorders>
              <w:top w:val="nil"/>
              <w:left w:val="nil"/>
              <w:bottom w:val="single" w:sz="4" w:space="0" w:color="auto"/>
              <w:right w:val="single" w:sz="4" w:space="0" w:color="auto"/>
            </w:tcBorders>
            <w:shd w:val="clear" w:color="auto" w:fill="auto"/>
            <w:noWrap/>
            <w:vAlign w:val="center"/>
          </w:tcPr>
          <w:p w14:paraId="6F8A966C" w14:textId="77777777" w:rsidR="00D10794" w:rsidRPr="00A31E59" w:rsidRDefault="00D10794" w:rsidP="00D10794">
            <w:pPr>
              <w:jc w:val="right"/>
            </w:pPr>
            <w:r>
              <w:t>-</w:t>
            </w:r>
            <w:r w:rsidRPr="00A31E59">
              <w:t>0.</w:t>
            </w:r>
            <w:r>
              <w:t>659</w:t>
            </w:r>
          </w:p>
        </w:tc>
        <w:tc>
          <w:tcPr>
            <w:tcW w:w="1701" w:type="dxa"/>
            <w:tcBorders>
              <w:top w:val="nil"/>
              <w:left w:val="nil"/>
              <w:bottom w:val="single" w:sz="4" w:space="0" w:color="auto"/>
              <w:right w:val="single" w:sz="4" w:space="0" w:color="auto"/>
            </w:tcBorders>
            <w:shd w:val="clear" w:color="auto" w:fill="auto"/>
            <w:noWrap/>
            <w:vAlign w:val="center"/>
          </w:tcPr>
          <w:p w14:paraId="32B9A6C5" w14:textId="77777777" w:rsidR="00D10794" w:rsidRPr="00A31E59" w:rsidRDefault="00D10794" w:rsidP="00D10794">
            <w:pPr>
              <w:jc w:val="right"/>
            </w:pPr>
            <w:r>
              <w:t>0.659</w:t>
            </w:r>
          </w:p>
        </w:tc>
        <w:tc>
          <w:tcPr>
            <w:tcW w:w="1843" w:type="dxa"/>
            <w:tcBorders>
              <w:top w:val="nil"/>
              <w:left w:val="nil"/>
              <w:bottom w:val="single" w:sz="4" w:space="0" w:color="auto"/>
              <w:right w:val="single" w:sz="4" w:space="0" w:color="auto"/>
            </w:tcBorders>
            <w:shd w:val="clear" w:color="auto" w:fill="auto"/>
            <w:noWrap/>
            <w:vAlign w:val="center"/>
          </w:tcPr>
          <w:p w14:paraId="173F9F06" w14:textId="77777777" w:rsidR="00D10794" w:rsidRPr="00A31E59" w:rsidRDefault="00D10794" w:rsidP="00D10794">
            <w:pPr>
              <w:jc w:val="right"/>
            </w:pPr>
            <w:r>
              <w:t>0.000</w:t>
            </w:r>
          </w:p>
        </w:tc>
      </w:tr>
      <w:tr w:rsidR="002F12B1" w14:paraId="58B3A9F3"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4DA21086" w14:textId="77777777" w:rsidR="00D10794" w:rsidRPr="00A31E59" w:rsidRDefault="00D10794" w:rsidP="00D10794">
            <w:r w:rsidRPr="00A31E59">
              <w:t>Business Rates Appeals</w:t>
            </w:r>
          </w:p>
        </w:tc>
        <w:tc>
          <w:tcPr>
            <w:tcW w:w="1842" w:type="dxa"/>
            <w:tcBorders>
              <w:top w:val="nil"/>
              <w:left w:val="nil"/>
              <w:bottom w:val="single" w:sz="4" w:space="0" w:color="auto"/>
              <w:right w:val="single" w:sz="4" w:space="0" w:color="auto"/>
            </w:tcBorders>
            <w:shd w:val="clear" w:color="auto" w:fill="auto"/>
            <w:noWrap/>
            <w:vAlign w:val="center"/>
          </w:tcPr>
          <w:p w14:paraId="5D60B7C6" w14:textId="77777777" w:rsidR="00D10794" w:rsidRPr="00A31E59" w:rsidRDefault="00D10794" w:rsidP="00D10794">
            <w:pPr>
              <w:jc w:val="right"/>
            </w:pPr>
            <w:r w:rsidRPr="00A31E59">
              <w:t>-</w:t>
            </w:r>
            <w:r>
              <w:t>9.275</w:t>
            </w:r>
          </w:p>
        </w:tc>
        <w:tc>
          <w:tcPr>
            <w:tcW w:w="1701" w:type="dxa"/>
            <w:tcBorders>
              <w:top w:val="nil"/>
              <w:left w:val="nil"/>
              <w:bottom w:val="single" w:sz="4" w:space="0" w:color="auto"/>
              <w:right w:val="single" w:sz="4" w:space="0" w:color="auto"/>
            </w:tcBorders>
            <w:shd w:val="clear" w:color="auto" w:fill="auto"/>
            <w:noWrap/>
            <w:vAlign w:val="center"/>
          </w:tcPr>
          <w:p w14:paraId="627711A0" w14:textId="77777777" w:rsidR="00D10794" w:rsidRPr="00A31E59" w:rsidRDefault="00D10794" w:rsidP="00D10794">
            <w:pPr>
              <w:jc w:val="right"/>
            </w:pPr>
            <w:r>
              <w:t>-0.474</w:t>
            </w:r>
          </w:p>
        </w:tc>
        <w:tc>
          <w:tcPr>
            <w:tcW w:w="1843" w:type="dxa"/>
            <w:tcBorders>
              <w:top w:val="nil"/>
              <w:left w:val="nil"/>
              <w:bottom w:val="single" w:sz="4" w:space="0" w:color="auto"/>
              <w:right w:val="single" w:sz="4" w:space="0" w:color="auto"/>
            </w:tcBorders>
            <w:shd w:val="clear" w:color="auto" w:fill="auto"/>
            <w:noWrap/>
            <w:vAlign w:val="center"/>
          </w:tcPr>
          <w:p w14:paraId="0CEC1A25" w14:textId="77777777" w:rsidR="00D10794" w:rsidRPr="00A31E59" w:rsidRDefault="00D10794" w:rsidP="00D10794">
            <w:pPr>
              <w:jc w:val="right"/>
            </w:pPr>
            <w:r w:rsidRPr="00A31E59">
              <w:t>-</w:t>
            </w:r>
            <w:r>
              <w:t>9.749</w:t>
            </w:r>
          </w:p>
        </w:tc>
      </w:tr>
      <w:tr w:rsidR="002F12B1" w14:paraId="0F370444"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7F8BA511" w14:textId="77777777" w:rsidR="00D10794" w:rsidRPr="00A31E59" w:rsidRDefault="00D10794" w:rsidP="00D10794">
            <w:r w:rsidRPr="00A31E59">
              <w:t>Municipal Mutual Insurance (MMI) Provision</w:t>
            </w:r>
          </w:p>
        </w:tc>
        <w:tc>
          <w:tcPr>
            <w:tcW w:w="1842" w:type="dxa"/>
            <w:tcBorders>
              <w:top w:val="nil"/>
              <w:left w:val="nil"/>
              <w:bottom w:val="single" w:sz="4" w:space="0" w:color="auto"/>
              <w:right w:val="single" w:sz="4" w:space="0" w:color="auto"/>
            </w:tcBorders>
            <w:shd w:val="clear" w:color="auto" w:fill="auto"/>
            <w:noWrap/>
            <w:vAlign w:val="center"/>
          </w:tcPr>
          <w:p w14:paraId="2B487C8E" w14:textId="77777777" w:rsidR="00D10794" w:rsidRPr="00A31E59" w:rsidRDefault="00D10794" w:rsidP="00D10794">
            <w:pPr>
              <w:jc w:val="right"/>
            </w:pPr>
            <w:r w:rsidRPr="00A31E59">
              <w:t>-2.749</w:t>
            </w:r>
          </w:p>
        </w:tc>
        <w:tc>
          <w:tcPr>
            <w:tcW w:w="1701" w:type="dxa"/>
            <w:tcBorders>
              <w:top w:val="nil"/>
              <w:left w:val="nil"/>
              <w:bottom w:val="single" w:sz="4" w:space="0" w:color="auto"/>
              <w:right w:val="single" w:sz="4" w:space="0" w:color="auto"/>
            </w:tcBorders>
            <w:shd w:val="clear" w:color="auto" w:fill="auto"/>
            <w:noWrap/>
            <w:vAlign w:val="center"/>
          </w:tcPr>
          <w:p w14:paraId="16DF2556" w14:textId="77777777" w:rsidR="00D10794" w:rsidRPr="00A31E59" w:rsidRDefault="00D10794" w:rsidP="00D10794">
            <w:pPr>
              <w:jc w:val="right"/>
            </w:pPr>
            <w:r w:rsidRPr="00A31E59">
              <w:t>0.000</w:t>
            </w:r>
          </w:p>
        </w:tc>
        <w:tc>
          <w:tcPr>
            <w:tcW w:w="1843" w:type="dxa"/>
            <w:tcBorders>
              <w:top w:val="nil"/>
              <w:left w:val="nil"/>
              <w:bottom w:val="single" w:sz="4" w:space="0" w:color="auto"/>
              <w:right w:val="single" w:sz="4" w:space="0" w:color="auto"/>
            </w:tcBorders>
            <w:shd w:val="clear" w:color="auto" w:fill="auto"/>
            <w:noWrap/>
            <w:vAlign w:val="center"/>
          </w:tcPr>
          <w:p w14:paraId="09A80E3E" w14:textId="77777777" w:rsidR="00D10794" w:rsidRPr="00A31E59" w:rsidRDefault="00D10794" w:rsidP="00D10794">
            <w:pPr>
              <w:jc w:val="right"/>
            </w:pPr>
            <w:r w:rsidRPr="00A31E59">
              <w:t>-2.749</w:t>
            </w:r>
          </w:p>
        </w:tc>
      </w:tr>
      <w:tr w:rsidR="002F12B1" w14:paraId="1A2696BB"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4CAB70D4" w14:textId="77777777" w:rsidR="00D10794" w:rsidRPr="00A31E59" w:rsidRDefault="00D10794" w:rsidP="00D10794">
            <w:r w:rsidRPr="00A31E59">
              <w:t>Insurance Provision</w:t>
            </w:r>
          </w:p>
        </w:tc>
        <w:tc>
          <w:tcPr>
            <w:tcW w:w="1842" w:type="dxa"/>
            <w:tcBorders>
              <w:top w:val="nil"/>
              <w:left w:val="nil"/>
              <w:bottom w:val="single" w:sz="4" w:space="0" w:color="auto"/>
              <w:right w:val="single" w:sz="4" w:space="0" w:color="auto"/>
            </w:tcBorders>
            <w:shd w:val="clear" w:color="auto" w:fill="auto"/>
            <w:noWrap/>
            <w:vAlign w:val="center"/>
          </w:tcPr>
          <w:p w14:paraId="681463D5" w14:textId="77777777" w:rsidR="00D10794" w:rsidRPr="00A31E59" w:rsidRDefault="00D10794" w:rsidP="00D10794">
            <w:pPr>
              <w:jc w:val="right"/>
            </w:pPr>
            <w:r w:rsidRPr="00A31E59">
              <w:t>-20.913</w:t>
            </w:r>
          </w:p>
        </w:tc>
        <w:tc>
          <w:tcPr>
            <w:tcW w:w="1701" w:type="dxa"/>
            <w:tcBorders>
              <w:top w:val="nil"/>
              <w:left w:val="nil"/>
              <w:bottom w:val="single" w:sz="4" w:space="0" w:color="auto"/>
              <w:right w:val="single" w:sz="4" w:space="0" w:color="auto"/>
            </w:tcBorders>
            <w:shd w:val="clear" w:color="auto" w:fill="auto"/>
            <w:noWrap/>
            <w:vAlign w:val="center"/>
          </w:tcPr>
          <w:p w14:paraId="7146D504" w14:textId="77777777" w:rsidR="00D10794" w:rsidRPr="00A31E59" w:rsidRDefault="00D10794" w:rsidP="00D10794">
            <w:pPr>
              <w:jc w:val="right"/>
            </w:pPr>
            <w:r w:rsidRPr="00A31E59">
              <w:t>-</w:t>
            </w:r>
            <w:r>
              <w:t>2.002</w:t>
            </w:r>
          </w:p>
        </w:tc>
        <w:tc>
          <w:tcPr>
            <w:tcW w:w="1843" w:type="dxa"/>
            <w:tcBorders>
              <w:top w:val="nil"/>
              <w:left w:val="nil"/>
              <w:bottom w:val="single" w:sz="4" w:space="0" w:color="auto"/>
              <w:right w:val="single" w:sz="4" w:space="0" w:color="auto"/>
            </w:tcBorders>
            <w:shd w:val="clear" w:color="auto" w:fill="auto"/>
            <w:noWrap/>
            <w:vAlign w:val="center"/>
          </w:tcPr>
          <w:p w14:paraId="4566F735" w14:textId="77777777" w:rsidR="00D10794" w:rsidRPr="00A31E59" w:rsidRDefault="00D10794" w:rsidP="00D10794">
            <w:pPr>
              <w:jc w:val="right"/>
            </w:pPr>
            <w:r w:rsidRPr="00A31E59">
              <w:t>-2</w:t>
            </w:r>
            <w:r>
              <w:t>2.915</w:t>
            </w:r>
          </w:p>
        </w:tc>
      </w:tr>
      <w:tr w:rsidR="002F12B1" w14:paraId="62837E45"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55713BAE" w14:textId="77777777" w:rsidR="00D10794" w:rsidRPr="00A31E59" w:rsidRDefault="00D10794" w:rsidP="00D10794">
            <w:r>
              <w:t>Highways</w:t>
            </w:r>
            <w:r w:rsidRPr="00A31E59">
              <w:t xml:space="preserve"> Provision</w:t>
            </w:r>
          </w:p>
        </w:tc>
        <w:tc>
          <w:tcPr>
            <w:tcW w:w="1842" w:type="dxa"/>
            <w:tcBorders>
              <w:top w:val="nil"/>
              <w:left w:val="nil"/>
              <w:bottom w:val="single" w:sz="4" w:space="0" w:color="auto"/>
              <w:right w:val="single" w:sz="4" w:space="0" w:color="auto"/>
            </w:tcBorders>
            <w:shd w:val="clear" w:color="auto" w:fill="auto"/>
            <w:noWrap/>
            <w:vAlign w:val="center"/>
          </w:tcPr>
          <w:p w14:paraId="740B6171" w14:textId="77777777" w:rsidR="00D10794" w:rsidRPr="00A31E59" w:rsidRDefault="00D10794" w:rsidP="00D10794">
            <w:pPr>
              <w:jc w:val="right"/>
            </w:pPr>
            <w:r w:rsidRPr="00A31E59">
              <w:t>0.</w:t>
            </w:r>
            <w:r>
              <w:t>000</w:t>
            </w:r>
          </w:p>
        </w:tc>
        <w:tc>
          <w:tcPr>
            <w:tcW w:w="1701" w:type="dxa"/>
            <w:tcBorders>
              <w:top w:val="nil"/>
              <w:left w:val="nil"/>
              <w:bottom w:val="single" w:sz="4" w:space="0" w:color="auto"/>
              <w:right w:val="single" w:sz="4" w:space="0" w:color="auto"/>
            </w:tcBorders>
            <w:shd w:val="clear" w:color="auto" w:fill="auto"/>
            <w:noWrap/>
            <w:vAlign w:val="center"/>
          </w:tcPr>
          <w:p w14:paraId="73A62715" w14:textId="77777777" w:rsidR="00D10794" w:rsidRPr="00A31E59" w:rsidRDefault="00D10794" w:rsidP="00D10794">
            <w:pPr>
              <w:jc w:val="right"/>
            </w:pPr>
            <w:r>
              <w:t>-0.200</w:t>
            </w:r>
          </w:p>
        </w:tc>
        <w:tc>
          <w:tcPr>
            <w:tcW w:w="1843" w:type="dxa"/>
            <w:tcBorders>
              <w:top w:val="nil"/>
              <w:left w:val="nil"/>
              <w:bottom w:val="single" w:sz="4" w:space="0" w:color="auto"/>
              <w:right w:val="single" w:sz="4" w:space="0" w:color="auto"/>
            </w:tcBorders>
            <w:shd w:val="clear" w:color="auto" w:fill="auto"/>
            <w:noWrap/>
            <w:vAlign w:val="center"/>
          </w:tcPr>
          <w:p w14:paraId="4836345C" w14:textId="77777777" w:rsidR="00D10794" w:rsidRPr="00A31E59" w:rsidRDefault="00D10794" w:rsidP="00D10794">
            <w:pPr>
              <w:jc w:val="right"/>
            </w:pPr>
            <w:r>
              <w:t>-</w:t>
            </w:r>
            <w:r w:rsidRPr="00A31E59">
              <w:t>0.</w:t>
            </w:r>
            <w:r>
              <w:t>2</w:t>
            </w:r>
            <w:r w:rsidRPr="00A31E59">
              <w:t>00</w:t>
            </w:r>
          </w:p>
        </w:tc>
      </w:tr>
      <w:tr w:rsidR="002F12B1" w14:paraId="2B100543"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698FF687" w14:textId="77777777" w:rsidR="00D10794" w:rsidRDefault="00D10794" w:rsidP="00D10794">
            <w:r>
              <w:t>Facilities Management Provision</w:t>
            </w:r>
          </w:p>
        </w:tc>
        <w:tc>
          <w:tcPr>
            <w:tcW w:w="1842" w:type="dxa"/>
            <w:tcBorders>
              <w:top w:val="nil"/>
              <w:left w:val="nil"/>
              <w:bottom w:val="single" w:sz="4" w:space="0" w:color="auto"/>
              <w:right w:val="single" w:sz="4" w:space="0" w:color="auto"/>
            </w:tcBorders>
            <w:shd w:val="clear" w:color="auto" w:fill="auto"/>
            <w:noWrap/>
            <w:vAlign w:val="center"/>
          </w:tcPr>
          <w:p w14:paraId="52F19499" w14:textId="77777777" w:rsidR="00D10794" w:rsidRPr="00A31E59" w:rsidRDefault="00D10794" w:rsidP="00D10794">
            <w:pPr>
              <w:jc w:val="right"/>
            </w:pPr>
            <w:r>
              <w:t>0.000</w:t>
            </w:r>
          </w:p>
        </w:tc>
        <w:tc>
          <w:tcPr>
            <w:tcW w:w="1701" w:type="dxa"/>
            <w:tcBorders>
              <w:top w:val="nil"/>
              <w:left w:val="nil"/>
              <w:bottom w:val="single" w:sz="4" w:space="0" w:color="auto"/>
              <w:right w:val="single" w:sz="4" w:space="0" w:color="auto"/>
            </w:tcBorders>
            <w:shd w:val="clear" w:color="auto" w:fill="auto"/>
            <w:noWrap/>
            <w:vAlign w:val="center"/>
          </w:tcPr>
          <w:p w14:paraId="18DE9F94" w14:textId="77777777" w:rsidR="00D10794" w:rsidRDefault="00D10794" w:rsidP="00D10794">
            <w:pPr>
              <w:jc w:val="right"/>
            </w:pPr>
            <w:r>
              <w:t>-0.499</w:t>
            </w:r>
          </w:p>
        </w:tc>
        <w:tc>
          <w:tcPr>
            <w:tcW w:w="1843" w:type="dxa"/>
            <w:tcBorders>
              <w:top w:val="nil"/>
              <w:left w:val="nil"/>
              <w:bottom w:val="single" w:sz="4" w:space="0" w:color="auto"/>
              <w:right w:val="single" w:sz="4" w:space="0" w:color="auto"/>
            </w:tcBorders>
            <w:shd w:val="clear" w:color="auto" w:fill="auto"/>
            <w:noWrap/>
            <w:vAlign w:val="center"/>
          </w:tcPr>
          <w:p w14:paraId="2F9CBD1E" w14:textId="77777777" w:rsidR="00D10794" w:rsidRDefault="00D10794" w:rsidP="00D10794">
            <w:pPr>
              <w:jc w:val="right"/>
            </w:pPr>
            <w:r>
              <w:t>-0.499</w:t>
            </w:r>
          </w:p>
        </w:tc>
      </w:tr>
      <w:tr w:rsidR="002F12B1" w14:paraId="72B0A594"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20A69B42" w14:textId="77777777" w:rsidR="00D10794" w:rsidRPr="0084492B" w:rsidRDefault="00D10794" w:rsidP="00D10794">
            <w:r w:rsidRPr="0084492B">
              <w:t>PFI Payments</w:t>
            </w:r>
          </w:p>
        </w:tc>
        <w:tc>
          <w:tcPr>
            <w:tcW w:w="1842" w:type="dxa"/>
            <w:tcBorders>
              <w:top w:val="nil"/>
              <w:left w:val="nil"/>
              <w:bottom w:val="single" w:sz="4" w:space="0" w:color="auto"/>
              <w:right w:val="single" w:sz="4" w:space="0" w:color="auto"/>
            </w:tcBorders>
            <w:shd w:val="clear" w:color="auto" w:fill="auto"/>
            <w:noWrap/>
            <w:vAlign w:val="center"/>
          </w:tcPr>
          <w:p w14:paraId="329EE421" w14:textId="77777777" w:rsidR="00D10794" w:rsidRPr="0084492B" w:rsidRDefault="00D10794" w:rsidP="00D10794">
            <w:pPr>
              <w:jc w:val="right"/>
            </w:pPr>
            <w:r w:rsidRPr="0084492B">
              <w:t>-1.100</w:t>
            </w:r>
          </w:p>
        </w:tc>
        <w:tc>
          <w:tcPr>
            <w:tcW w:w="1701" w:type="dxa"/>
            <w:tcBorders>
              <w:top w:val="nil"/>
              <w:left w:val="nil"/>
              <w:bottom w:val="single" w:sz="4" w:space="0" w:color="auto"/>
              <w:right w:val="single" w:sz="4" w:space="0" w:color="auto"/>
            </w:tcBorders>
            <w:shd w:val="clear" w:color="auto" w:fill="auto"/>
            <w:noWrap/>
            <w:vAlign w:val="center"/>
          </w:tcPr>
          <w:p w14:paraId="14A2A5D3" w14:textId="77777777" w:rsidR="00D10794" w:rsidRPr="00A31E59" w:rsidRDefault="00D10794" w:rsidP="00D10794">
            <w:pPr>
              <w:jc w:val="right"/>
            </w:pPr>
            <w:r w:rsidRPr="00A31E59">
              <w:t>0</w:t>
            </w:r>
            <w:r>
              <w:t>.005</w:t>
            </w:r>
          </w:p>
        </w:tc>
        <w:tc>
          <w:tcPr>
            <w:tcW w:w="1843" w:type="dxa"/>
            <w:tcBorders>
              <w:top w:val="nil"/>
              <w:left w:val="nil"/>
              <w:bottom w:val="single" w:sz="4" w:space="0" w:color="auto"/>
              <w:right w:val="single" w:sz="4" w:space="0" w:color="auto"/>
            </w:tcBorders>
            <w:shd w:val="clear" w:color="auto" w:fill="auto"/>
            <w:noWrap/>
            <w:vAlign w:val="center"/>
          </w:tcPr>
          <w:p w14:paraId="3EC04F57" w14:textId="77777777" w:rsidR="00D10794" w:rsidRPr="00A31E59" w:rsidRDefault="00D10794" w:rsidP="00D10794">
            <w:pPr>
              <w:jc w:val="right"/>
            </w:pPr>
            <w:r w:rsidRPr="00A31E59">
              <w:t>-1.</w:t>
            </w:r>
            <w:r>
              <w:t>095</w:t>
            </w:r>
          </w:p>
        </w:tc>
      </w:tr>
      <w:tr w:rsidR="002F12B1" w14:paraId="7BC629AF" w14:textId="77777777" w:rsidTr="00D10794">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14:paraId="7DCD0AF5" w14:textId="77777777" w:rsidR="00D10794" w:rsidRPr="0084492B" w:rsidRDefault="00D10794" w:rsidP="00D10794">
            <w:pPr>
              <w:rPr>
                <w:b/>
              </w:rPr>
            </w:pPr>
            <w:r w:rsidRPr="0084492B">
              <w:rPr>
                <w:b/>
              </w:rPr>
              <w:t>Grand Total</w:t>
            </w:r>
          </w:p>
        </w:tc>
        <w:tc>
          <w:tcPr>
            <w:tcW w:w="1842" w:type="dxa"/>
            <w:tcBorders>
              <w:top w:val="nil"/>
              <w:left w:val="nil"/>
              <w:bottom w:val="single" w:sz="4" w:space="0" w:color="auto"/>
              <w:right w:val="single" w:sz="4" w:space="0" w:color="auto"/>
            </w:tcBorders>
            <w:shd w:val="clear" w:color="auto" w:fill="auto"/>
            <w:noWrap/>
            <w:vAlign w:val="center"/>
          </w:tcPr>
          <w:p w14:paraId="3E2A644C" w14:textId="77777777" w:rsidR="00D10794" w:rsidRPr="0084492B" w:rsidRDefault="00D10794" w:rsidP="00D10794">
            <w:pPr>
              <w:jc w:val="right"/>
              <w:rPr>
                <w:b/>
              </w:rPr>
            </w:pPr>
            <w:r w:rsidRPr="0084492B">
              <w:rPr>
                <w:b/>
              </w:rPr>
              <w:t>-37.676</w:t>
            </w:r>
          </w:p>
        </w:tc>
        <w:tc>
          <w:tcPr>
            <w:tcW w:w="1701" w:type="dxa"/>
            <w:tcBorders>
              <w:top w:val="nil"/>
              <w:left w:val="nil"/>
              <w:bottom w:val="single" w:sz="4" w:space="0" w:color="auto"/>
              <w:right w:val="single" w:sz="4" w:space="0" w:color="auto"/>
            </w:tcBorders>
            <w:shd w:val="clear" w:color="auto" w:fill="auto"/>
            <w:noWrap/>
            <w:vAlign w:val="center"/>
          </w:tcPr>
          <w:p w14:paraId="7B5684DB" w14:textId="77777777" w:rsidR="00D10794" w:rsidRPr="00C529BF" w:rsidRDefault="00D10794" w:rsidP="00D10794">
            <w:pPr>
              <w:jc w:val="right"/>
              <w:rPr>
                <w:b/>
                <w:highlight w:val="yellow"/>
              </w:rPr>
            </w:pPr>
            <w:r w:rsidRPr="0084492B">
              <w:rPr>
                <w:b/>
              </w:rPr>
              <w:t>-2.</w:t>
            </w:r>
            <w:r>
              <w:rPr>
                <w:b/>
              </w:rPr>
              <w:t>395</w:t>
            </w:r>
          </w:p>
        </w:tc>
        <w:tc>
          <w:tcPr>
            <w:tcW w:w="1843" w:type="dxa"/>
            <w:tcBorders>
              <w:top w:val="nil"/>
              <w:left w:val="nil"/>
              <w:bottom w:val="single" w:sz="4" w:space="0" w:color="auto"/>
              <w:right w:val="single" w:sz="4" w:space="0" w:color="auto"/>
            </w:tcBorders>
            <w:shd w:val="clear" w:color="auto" w:fill="auto"/>
            <w:noWrap/>
            <w:vAlign w:val="center"/>
          </w:tcPr>
          <w:p w14:paraId="4133D02D" w14:textId="77777777" w:rsidR="00D10794" w:rsidRPr="00C529BF" w:rsidRDefault="00D10794" w:rsidP="00D10794">
            <w:pPr>
              <w:jc w:val="right"/>
              <w:rPr>
                <w:b/>
                <w:highlight w:val="yellow"/>
              </w:rPr>
            </w:pPr>
            <w:r w:rsidRPr="0084492B">
              <w:rPr>
                <w:b/>
              </w:rPr>
              <w:t>-40.071</w:t>
            </w:r>
          </w:p>
        </w:tc>
      </w:tr>
    </w:tbl>
    <w:p w14:paraId="7C3A0885" w14:textId="77777777" w:rsidR="00D10794" w:rsidRPr="00BC7F2C" w:rsidRDefault="00D10794" w:rsidP="00D10794"/>
    <w:p w14:paraId="5965D086" w14:textId="77777777" w:rsidR="00D10794" w:rsidRPr="00C529BF" w:rsidRDefault="00D10794" w:rsidP="00D10794">
      <w:pPr>
        <w:autoSpaceDE/>
        <w:autoSpaceDN/>
        <w:adjustRightInd/>
        <w:spacing w:after="0"/>
        <w:rPr>
          <w:b/>
          <w:highlight w:val="yellow"/>
        </w:rPr>
      </w:pPr>
      <w:r w:rsidRPr="00BC7F2C">
        <w:t xml:space="preserve">The table above contains both </w:t>
      </w:r>
      <w:proofErr w:type="gramStart"/>
      <w:r w:rsidRPr="00BC7F2C">
        <w:t>long and short term</w:t>
      </w:r>
      <w:proofErr w:type="gramEnd"/>
      <w:r w:rsidRPr="00BC7F2C">
        <w:t xml:space="preserve"> provisions held at the end of the 2020/21 financial year. A review of all provisions has been undertaken with several removed as they are no longer required. In addition, where new provisions are required (such as the Facilities Management and Highways) or increases were needed to existing provisions then the required action has been taken. </w:t>
      </w:r>
      <w:r w:rsidRPr="00C529BF">
        <w:rPr>
          <w:b/>
          <w:highlight w:val="yellow"/>
        </w:rPr>
        <w:br w:type="page"/>
      </w:r>
    </w:p>
    <w:p w14:paraId="31FD8869" w14:textId="77777777" w:rsidR="00D10794" w:rsidRPr="0085238B" w:rsidRDefault="00D10794" w:rsidP="00D10794">
      <w:pPr>
        <w:autoSpaceDE/>
        <w:autoSpaceDN/>
        <w:adjustRightInd/>
        <w:spacing w:after="0"/>
        <w:jc w:val="left"/>
        <w:rPr>
          <w:rFonts w:cs="Arial"/>
          <w:b/>
          <w:lang w:eastAsia="en-GB"/>
        </w:rPr>
      </w:pPr>
      <w:r w:rsidRPr="0085238B">
        <w:rPr>
          <w:rFonts w:cs="Arial"/>
          <w:b/>
          <w:lang w:eastAsia="en-GB"/>
        </w:rPr>
        <w:lastRenderedPageBreak/>
        <w:t>Section E – Conclusion on the County Council's Financial Health</w:t>
      </w:r>
    </w:p>
    <w:p w14:paraId="6666F4EA" w14:textId="77777777" w:rsidR="00D10794" w:rsidRPr="00C529BF" w:rsidRDefault="00D10794" w:rsidP="00D10794">
      <w:pPr>
        <w:spacing w:after="0"/>
        <w:rPr>
          <w:rFonts w:cs="Arial"/>
          <w:highlight w:val="yellow"/>
        </w:rPr>
      </w:pPr>
    </w:p>
    <w:p w14:paraId="16CEADDF" w14:textId="2A265D00" w:rsidR="00D10794" w:rsidRPr="00C529BF" w:rsidRDefault="00D10794" w:rsidP="00D10794">
      <w:pPr>
        <w:spacing w:after="0"/>
        <w:rPr>
          <w:rFonts w:cs="Arial"/>
          <w:highlight w:val="yellow"/>
        </w:rPr>
      </w:pPr>
      <w:r w:rsidRPr="00127301">
        <w:rPr>
          <w:rFonts w:cs="Arial"/>
        </w:rPr>
        <w:t>Whilst the revenue outturn position for 2020/21 presented within the report is positive in headline terms,</w:t>
      </w:r>
      <w:r>
        <w:rPr>
          <w:rFonts w:cs="Arial"/>
        </w:rPr>
        <w:t xml:space="preserve"> as an underspend has been achieved and a contribution to reserves in-year rather than the need to support a structural funding gap it must be recognised that 2020/21 has been a highly unusual year due to the pandemic. There have been multiple grants provided by the government to support costs incurred by local authorities, which includes delayed delivery of savings, but many of these are currently expected to cease at the end of June 2021. This means that as the County Council returns services to more normal levels of activity (incorporating the impact of the pandemic) that the underlying budget pressures and delivery of savings pressures </w:t>
      </w:r>
      <w:proofErr w:type="gramStart"/>
      <w:r>
        <w:rPr>
          <w:rFonts w:cs="Arial"/>
        </w:rPr>
        <w:t>still remain</w:t>
      </w:r>
      <w:proofErr w:type="gramEnd"/>
      <w:r>
        <w:rPr>
          <w:rFonts w:cs="Arial"/>
        </w:rPr>
        <w:t xml:space="preserve">. The County Council is forecast to have a financial gap of £50.048m by 2023/24. </w:t>
      </w:r>
    </w:p>
    <w:p w14:paraId="11F0F6F7" w14:textId="77777777" w:rsidR="00D10794" w:rsidRPr="00127301" w:rsidRDefault="00D10794" w:rsidP="00D10794">
      <w:pPr>
        <w:spacing w:after="0"/>
        <w:rPr>
          <w:rFonts w:cs="Arial"/>
        </w:rPr>
      </w:pPr>
    </w:p>
    <w:p w14:paraId="643F28FC" w14:textId="269B3DAF" w:rsidR="00D10794" w:rsidRDefault="00D10794" w:rsidP="00D10794">
      <w:pPr>
        <w:spacing w:after="0"/>
        <w:rPr>
          <w:rFonts w:cs="Arial"/>
        </w:rPr>
      </w:pPr>
      <w:r w:rsidRPr="00127301">
        <w:rPr>
          <w:rFonts w:cs="Arial"/>
        </w:rPr>
        <w:t xml:space="preserve">When the budget was set for 2020/21 there was a small surplus of £1.358m rather than a funding gap as per each of the most recent years. However, in 2021/22 and </w:t>
      </w:r>
      <w:r w:rsidR="00557D0C">
        <w:rPr>
          <w:rFonts w:cs="Arial"/>
        </w:rPr>
        <w:t xml:space="preserve">over the period </w:t>
      </w:r>
      <w:r w:rsidR="00C42640">
        <w:rPr>
          <w:rFonts w:cs="Arial"/>
        </w:rPr>
        <w:t xml:space="preserve">of </w:t>
      </w:r>
      <w:r w:rsidR="00C42640" w:rsidRPr="00127301">
        <w:rPr>
          <w:rFonts w:cs="Arial"/>
        </w:rPr>
        <w:t>the</w:t>
      </w:r>
      <w:r w:rsidRPr="00127301">
        <w:rPr>
          <w:rFonts w:cs="Arial"/>
        </w:rPr>
        <w:t xml:space="preserve"> </w:t>
      </w:r>
      <w:proofErr w:type="gramStart"/>
      <w:r w:rsidRPr="00127301">
        <w:rPr>
          <w:rFonts w:cs="Arial"/>
        </w:rPr>
        <w:t>medium term</w:t>
      </w:r>
      <w:proofErr w:type="gramEnd"/>
      <w:r w:rsidRPr="00127301">
        <w:rPr>
          <w:rFonts w:cs="Arial"/>
        </w:rPr>
        <w:t xml:space="preserve"> financial strategy </w:t>
      </w:r>
      <w:r w:rsidR="00557D0C">
        <w:rPr>
          <w:rFonts w:cs="Arial"/>
        </w:rPr>
        <w:t xml:space="preserve">there is a structural funding gap that will need to be addressed.  Currently there are sufficient reserves to support the forecast gap through to 2023/24 and beyond but the intention is that further savings will be identified to reduce the requirement from reserves.  </w:t>
      </w:r>
    </w:p>
    <w:p w14:paraId="661441C8" w14:textId="77777777" w:rsidR="00D10794" w:rsidRDefault="00D10794" w:rsidP="00D10794">
      <w:pPr>
        <w:spacing w:after="0"/>
        <w:rPr>
          <w:rFonts w:cs="Arial"/>
        </w:rPr>
      </w:pPr>
    </w:p>
    <w:p w14:paraId="322C87A0" w14:textId="46F151D6" w:rsidR="00D10794" w:rsidRPr="00C529BF" w:rsidRDefault="00D10794" w:rsidP="00D10794">
      <w:pPr>
        <w:spacing w:after="0"/>
        <w:rPr>
          <w:rFonts w:cs="Arial"/>
          <w:highlight w:val="yellow"/>
        </w:rPr>
      </w:pPr>
      <w:r>
        <w:rPr>
          <w:rFonts w:cs="Arial"/>
        </w:rPr>
        <w:t xml:space="preserve">The forecast funding gap is predicated on the achievement of all agreed savings, and any undelivered or delayed savings will further increase the gap. In 2021/22 services will need to deliver c£43m of savings to stay within their budget </w:t>
      </w:r>
      <w:proofErr w:type="gramStart"/>
      <w:r>
        <w:rPr>
          <w:rFonts w:cs="Arial"/>
        </w:rPr>
        <w:t>envelope</w:t>
      </w:r>
      <w:proofErr w:type="gramEnd"/>
      <w:r>
        <w:rPr>
          <w:rFonts w:cs="Arial"/>
        </w:rPr>
        <w:t xml:space="preserve"> which is a </w:t>
      </w:r>
      <w:r w:rsidRPr="00831376">
        <w:rPr>
          <w:rFonts w:cs="Arial"/>
        </w:rPr>
        <w:t>significant ask, as this includes those savings that have been delayed due to the pandemic.  These savings are a combination of efficiencies, demand management, income generation</w:t>
      </w:r>
      <w:r w:rsidR="00557D0C">
        <w:rPr>
          <w:rFonts w:cs="Arial"/>
        </w:rPr>
        <w:t xml:space="preserve"> and a</w:t>
      </w:r>
      <w:r w:rsidRPr="00831376">
        <w:rPr>
          <w:rFonts w:cs="Arial"/>
        </w:rPr>
        <w:t xml:space="preserve"> reduction in some services</w:t>
      </w:r>
      <w:r w:rsidR="00557D0C">
        <w:rPr>
          <w:rFonts w:cs="Arial"/>
        </w:rPr>
        <w:t xml:space="preserve">. </w:t>
      </w:r>
      <w:r>
        <w:rPr>
          <w:rFonts w:cs="Arial"/>
        </w:rPr>
        <w:t xml:space="preserve">Whilst the support available from reserves presents a positive position, there is a </w:t>
      </w:r>
      <w:r w:rsidRPr="00831376">
        <w:rPr>
          <w:rFonts w:cs="Arial"/>
        </w:rPr>
        <w:t xml:space="preserve">continued financial risk relating to the impact of the </w:t>
      </w:r>
      <w:r w:rsidR="00C42640">
        <w:rPr>
          <w:rFonts w:cs="Arial"/>
        </w:rPr>
        <w:t>C</w:t>
      </w:r>
      <w:r w:rsidRPr="00831376">
        <w:rPr>
          <w:rFonts w:cs="Arial"/>
        </w:rPr>
        <w:t xml:space="preserve">ovid-19 pandemic.  </w:t>
      </w:r>
    </w:p>
    <w:p w14:paraId="715BC32A" w14:textId="77777777" w:rsidR="00D10794" w:rsidRPr="004071C2" w:rsidRDefault="00D10794" w:rsidP="00D10794">
      <w:pPr>
        <w:spacing w:after="0"/>
        <w:rPr>
          <w:rFonts w:cs="Arial"/>
        </w:rPr>
      </w:pPr>
    </w:p>
    <w:p w14:paraId="685B0B61" w14:textId="50E913BC" w:rsidR="00D10794" w:rsidRPr="004071C2" w:rsidRDefault="00D10794" w:rsidP="00D10794">
      <w:pPr>
        <w:spacing w:after="0"/>
        <w:rPr>
          <w:rFonts w:cs="Arial"/>
        </w:rPr>
      </w:pPr>
      <w:r w:rsidRPr="004071C2">
        <w:rPr>
          <w:rFonts w:cs="Arial"/>
        </w:rPr>
        <w:t xml:space="preserve">The availability of reserves to support recent revenue budgets has been enabled by good financial stewardship. The council has a track record of delivering positive outturn positions in most years through strong financial management, including delivering </w:t>
      </w:r>
      <w:proofErr w:type="gramStart"/>
      <w:r w:rsidRPr="004071C2">
        <w:rPr>
          <w:rFonts w:cs="Arial"/>
        </w:rPr>
        <w:t>the majority of</w:t>
      </w:r>
      <w:proofErr w:type="gramEnd"/>
      <w:r w:rsidRPr="004071C2">
        <w:rPr>
          <w:rFonts w:cs="Arial"/>
        </w:rPr>
        <w:t xml:space="preserve"> savings that have been agreed in budget cycles.  </w:t>
      </w:r>
    </w:p>
    <w:p w14:paraId="07D08273" w14:textId="77777777" w:rsidR="00D10794" w:rsidRPr="00C529BF" w:rsidRDefault="00D10794" w:rsidP="00D10794">
      <w:pPr>
        <w:spacing w:after="0"/>
        <w:rPr>
          <w:rFonts w:cs="Arial"/>
          <w:highlight w:val="yellow"/>
        </w:rPr>
      </w:pPr>
    </w:p>
    <w:p w14:paraId="65293311" w14:textId="440F8A73" w:rsidR="00D10794" w:rsidRPr="004071C2" w:rsidRDefault="00D10794" w:rsidP="00D10794">
      <w:pPr>
        <w:spacing w:after="0"/>
        <w:rPr>
          <w:rFonts w:cs="Arial"/>
        </w:rPr>
      </w:pPr>
      <w:r w:rsidRPr="004071C2">
        <w:rPr>
          <w:rFonts w:cs="Arial"/>
        </w:rPr>
        <w:t xml:space="preserve">Positively this has continued in 2020/21 with the revenue underspend resulting in a much lower net reduction in reserves than was originally budgeted for.  As part of the Money Matters report for quarter 1, detailed work will be undertaken to determine the extent to which any of the underspending areas represent structural underspends not yet </w:t>
      </w:r>
      <w:r w:rsidR="00557D0C">
        <w:rPr>
          <w:rFonts w:cs="Arial"/>
        </w:rPr>
        <w:t xml:space="preserve">fully </w:t>
      </w:r>
      <w:r w:rsidRPr="004071C2">
        <w:rPr>
          <w:rFonts w:cs="Arial"/>
        </w:rPr>
        <w:t xml:space="preserve">adjusted for within the MTFS for future years, e.g. continuing strong treasury management performance. Similarly, overspending areas are also being reviewed to determine the extent that it is recurrent and not reflected in the MTFS, with an updated position to be reported to </w:t>
      </w:r>
      <w:r>
        <w:rPr>
          <w:rFonts w:cs="Arial"/>
        </w:rPr>
        <w:t>C</w:t>
      </w:r>
      <w:r w:rsidRPr="004071C2">
        <w:rPr>
          <w:rFonts w:cs="Arial"/>
        </w:rPr>
        <w:t xml:space="preserve">abinet in September. </w:t>
      </w:r>
    </w:p>
    <w:p w14:paraId="78990357" w14:textId="77777777" w:rsidR="00D10794" w:rsidRPr="004071C2" w:rsidRDefault="00D10794" w:rsidP="00D10794">
      <w:pPr>
        <w:spacing w:after="0"/>
        <w:rPr>
          <w:rFonts w:cs="Arial"/>
        </w:rPr>
      </w:pPr>
    </w:p>
    <w:p w14:paraId="21221D97" w14:textId="77777777" w:rsidR="00D10794" w:rsidRPr="004071C2" w:rsidRDefault="00D10794" w:rsidP="00D10794">
      <w:pPr>
        <w:spacing w:after="0"/>
        <w:rPr>
          <w:rFonts w:cs="Arial"/>
        </w:rPr>
      </w:pPr>
      <w:r w:rsidRPr="004071C2">
        <w:rPr>
          <w:rFonts w:cs="Arial"/>
        </w:rPr>
        <w:t xml:space="preserve">The proportion of the council's revenue budget spent on key demand led areas continues to increase and remains a challenge </w:t>
      </w:r>
      <w:proofErr w:type="gramStart"/>
      <w:r w:rsidRPr="004071C2">
        <w:rPr>
          <w:rFonts w:cs="Arial"/>
        </w:rPr>
        <w:t>as a result of</w:t>
      </w:r>
      <w:proofErr w:type="gramEnd"/>
      <w:r w:rsidRPr="004071C2">
        <w:rPr>
          <w:rFonts w:cs="Arial"/>
        </w:rPr>
        <w:t xml:space="preserve"> the ageing population and increasing demand, despite the application of the adult social care precept.  The other significant area of demand is children's social care.</w:t>
      </w:r>
    </w:p>
    <w:p w14:paraId="34D5DC6F" w14:textId="77777777" w:rsidR="00D10794" w:rsidRPr="00C529BF" w:rsidRDefault="00D10794" w:rsidP="00D10794">
      <w:pPr>
        <w:spacing w:after="0"/>
        <w:rPr>
          <w:rFonts w:cs="Arial"/>
          <w:highlight w:val="yellow"/>
        </w:rPr>
      </w:pPr>
    </w:p>
    <w:p w14:paraId="0B76591B" w14:textId="77777777" w:rsidR="00D10794" w:rsidRPr="004071C2" w:rsidRDefault="00D10794" w:rsidP="00D10794">
      <w:pPr>
        <w:spacing w:after="0"/>
        <w:rPr>
          <w:rFonts w:cs="Arial"/>
        </w:rPr>
      </w:pPr>
      <w:r w:rsidRPr="004071C2">
        <w:rPr>
          <w:rFonts w:cs="Arial"/>
        </w:rPr>
        <w:t xml:space="preserve">On the assumption that sufficient funding is provided by central government to address the financial impacts of Covid-19 the remaining reserves are forecast to be sufficient to enable a balanced budget to be set until 2023/24, however it is critical that further proposals are developed to address the funding gap. Following the </w:t>
      </w:r>
      <w:r w:rsidRPr="004071C2">
        <w:rPr>
          <w:rFonts w:cs="Arial"/>
        </w:rPr>
        <w:lastRenderedPageBreak/>
        <w:t xml:space="preserve">successful identification of savings as part of phase 1 of service challenge, phase 2 which has currently paused due to the current emergency will build on the good work to date and identify further savings proposals. This phase will focus on more </w:t>
      </w:r>
      <w:proofErr w:type="gramStart"/>
      <w:r w:rsidRPr="004071C2">
        <w:rPr>
          <w:rFonts w:cs="Arial"/>
        </w:rPr>
        <w:t>cross cutting</w:t>
      </w:r>
      <w:proofErr w:type="gramEnd"/>
      <w:r w:rsidRPr="004071C2">
        <w:rPr>
          <w:rFonts w:cs="Arial"/>
        </w:rPr>
        <w:t xml:space="preserve"> themes throughout the council. This initiative will also incorporate the agreed corporate strategy and use the priorities identified as a framework for prioritisation across the council. </w:t>
      </w:r>
    </w:p>
    <w:p w14:paraId="56451EEC" w14:textId="77777777" w:rsidR="00D10794" w:rsidRPr="004071C2" w:rsidRDefault="00D10794" w:rsidP="00D10794">
      <w:pPr>
        <w:spacing w:after="0"/>
        <w:rPr>
          <w:rFonts w:cs="Arial"/>
        </w:rPr>
      </w:pPr>
    </w:p>
    <w:p w14:paraId="34C033D4" w14:textId="77777777" w:rsidR="00D10794" w:rsidRPr="004071C2" w:rsidRDefault="00D10794" w:rsidP="00D10794">
      <w:pPr>
        <w:spacing w:after="0"/>
        <w:rPr>
          <w:rFonts w:cs="Arial"/>
        </w:rPr>
      </w:pPr>
      <w:r w:rsidRPr="004071C2">
        <w:rPr>
          <w:rFonts w:cs="Arial"/>
        </w:rPr>
        <w:t xml:space="preserve">As with any such plan, the </w:t>
      </w:r>
      <w:proofErr w:type="gramStart"/>
      <w:r w:rsidRPr="004071C2">
        <w:rPr>
          <w:rFonts w:cs="Arial"/>
        </w:rPr>
        <w:t>medium term</w:t>
      </w:r>
      <w:proofErr w:type="gramEnd"/>
      <w:r w:rsidRPr="004071C2">
        <w:rPr>
          <w:rFonts w:cs="Arial"/>
        </w:rPr>
        <w:t xml:space="preserve"> financial strategy contains a number of assumptions within future year forecasts reflecting a number of unknown elements in relation to the future funding of local government. In particular for this year the uncertainty around the full financial impact of the activity needed to support and protect residents and colleagues as a result of Coronavirus and the extent to which government will make good the financial pressures in both 2021/22 and beyond creates additional uncertainty. </w:t>
      </w:r>
    </w:p>
    <w:p w14:paraId="4C911BAA" w14:textId="77777777" w:rsidR="00D10794" w:rsidRPr="004071C2" w:rsidRDefault="00D10794" w:rsidP="00D10794">
      <w:pPr>
        <w:spacing w:after="0"/>
        <w:rPr>
          <w:rFonts w:cs="Arial"/>
        </w:rPr>
      </w:pPr>
    </w:p>
    <w:p w14:paraId="75DF25D1" w14:textId="18A6F010" w:rsidR="00D10794" w:rsidRDefault="00D10794" w:rsidP="00D10794">
      <w:pPr>
        <w:spacing w:after="0"/>
        <w:rPr>
          <w:rFonts w:cs="Arial"/>
        </w:rPr>
      </w:pPr>
      <w:r w:rsidRPr="004071C2">
        <w:rPr>
          <w:rFonts w:cs="Arial"/>
        </w:rPr>
        <w:t xml:space="preserve">The government's aim to introduce a new fair funding formula and 75% business rates retention have been further delayed by at least a year. As a result of these factors the impact on the council's funding envelope is unknown but will become clearer over the coming months and at this </w:t>
      </w:r>
      <w:proofErr w:type="gramStart"/>
      <w:r w:rsidRPr="004071C2">
        <w:rPr>
          <w:rFonts w:cs="Arial"/>
        </w:rPr>
        <w:t>stage</w:t>
      </w:r>
      <w:proofErr w:type="gramEnd"/>
      <w:r w:rsidRPr="004071C2">
        <w:rPr>
          <w:rFonts w:cs="Arial"/>
        </w:rPr>
        <w:t xml:space="preserve"> we anticipate a spending review and </w:t>
      </w:r>
      <w:r w:rsidR="00F341A9">
        <w:rPr>
          <w:rFonts w:cs="Arial"/>
        </w:rPr>
        <w:t>longer-term (</w:t>
      </w:r>
      <w:r w:rsidRPr="004071C2">
        <w:rPr>
          <w:rFonts w:cs="Arial"/>
        </w:rPr>
        <w:t>potentially 3-year</w:t>
      </w:r>
      <w:r w:rsidR="00F341A9">
        <w:rPr>
          <w:rFonts w:cs="Arial"/>
        </w:rPr>
        <w:t>) financial</w:t>
      </w:r>
      <w:r w:rsidRPr="004071C2">
        <w:rPr>
          <w:rFonts w:cs="Arial"/>
        </w:rPr>
        <w:t xml:space="preserve"> settlement in the autumn.</w:t>
      </w:r>
      <w:r>
        <w:rPr>
          <w:rFonts w:cs="Arial"/>
        </w:rPr>
        <w:t xml:space="preserve">  </w:t>
      </w:r>
    </w:p>
    <w:p w14:paraId="0CBAB3B2" w14:textId="77777777" w:rsidR="00D10794" w:rsidRPr="007C7D67" w:rsidRDefault="00D10794">
      <w:pPr>
        <w:spacing w:after="0"/>
        <w:rPr>
          <w:rFonts w:cs="Arial"/>
          <w:b/>
        </w:rPr>
      </w:pPr>
    </w:p>
    <w:sectPr w:rsidR="00D10794" w:rsidRPr="007C7D67" w:rsidSect="00D10794">
      <w:pgSz w:w="11906" w:h="16838"/>
      <w:pgMar w:top="567" w:right="1361" w:bottom="567"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FC5E" w14:textId="77777777" w:rsidR="00EF3BE0" w:rsidRDefault="00EF3BE0">
      <w:pPr>
        <w:spacing w:after="0"/>
      </w:pPr>
      <w:r>
        <w:separator/>
      </w:r>
    </w:p>
  </w:endnote>
  <w:endnote w:type="continuationSeparator" w:id="0">
    <w:p w14:paraId="66DA16DA" w14:textId="77777777" w:rsidR="00EF3BE0" w:rsidRDefault="00EF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BCF9" w14:textId="77777777" w:rsidR="00EF3BE0" w:rsidRDefault="00EF3BE0" w:rsidP="00D10794">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61045AF2" w14:textId="77777777" w:rsidR="00EF3BE0" w:rsidRDefault="00EF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3E54" w14:textId="77777777" w:rsidR="00EF3BE0" w:rsidRDefault="00EF3BE0">
      <w:pPr>
        <w:spacing w:after="0"/>
      </w:pPr>
      <w:r>
        <w:separator/>
      </w:r>
    </w:p>
  </w:footnote>
  <w:footnote w:type="continuationSeparator" w:id="0">
    <w:p w14:paraId="6265946D" w14:textId="77777777" w:rsidR="00EF3BE0" w:rsidRDefault="00EF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BCD3" w14:textId="77777777" w:rsidR="00EF3BE0" w:rsidRDefault="00EF3BE0">
    <w:pPr>
      <w:pStyle w:val="Header"/>
    </w:pPr>
    <w:r>
      <w:rPr>
        <w:noProof/>
        <w:lang w:eastAsia="en-GB"/>
      </w:rPr>
      <w:drawing>
        <wp:anchor distT="0" distB="0" distL="114300" distR="114300" simplePos="0" relativeHeight="251658240" behindDoc="1" locked="0" layoutInCell="1" allowOverlap="1" wp14:anchorId="6F37E483" wp14:editId="4E465D4A">
          <wp:simplePos x="0" y="0"/>
          <wp:positionH relativeFrom="column">
            <wp:posOffset>-915035</wp:posOffset>
          </wp:positionH>
          <wp:positionV relativeFrom="paragraph">
            <wp:posOffset>-189230</wp:posOffset>
          </wp:positionV>
          <wp:extent cx="7548880" cy="6653530"/>
          <wp:effectExtent l="19050" t="0" r="0" b="0"/>
          <wp:wrapNone/>
          <wp:docPr id="10"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0644"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9074" w14:textId="77777777" w:rsidR="00EF3BE0" w:rsidRDefault="00EF3BE0" w:rsidP="00D10794">
    <w:pPr>
      <w:pStyle w:val="Header"/>
    </w:pPr>
    <w:r>
      <w:rPr>
        <w:noProof/>
        <w:lang w:eastAsia="en-GB"/>
      </w:rPr>
      <w:drawing>
        <wp:anchor distT="0" distB="0" distL="114300" distR="114300" simplePos="0" relativeHeight="251659264" behindDoc="1" locked="0" layoutInCell="1" allowOverlap="1" wp14:anchorId="7C75C8B4" wp14:editId="4DA1A603">
          <wp:simplePos x="0" y="0"/>
          <wp:positionH relativeFrom="page">
            <wp:align>right</wp:align>
          </wp:positionH>
          <wp:positionV relativeFrom="paragraph">
            <wp:posOffset>-433395</wp:posOffset>
          </wp:positionV>
          <wp:extent cx="7564755" cy="10689590"/>
          <wp:effectExtent l="0" t="0" r="0" b="0"/>
          <wp:wrapNone/>
          <wp:docPr id="12" name="Picture 1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83276" name="Picture 2"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117858D0"/>
    <w:multiLevelType w:val="hybridMultilevel"/>
    <w:tmpl w:val="1F602B86"/>
    <w:lvl w:ilvl="0" w:tplc="E42C2D32">
      <w:start w:val="1"/>
      <w:numFmt w:val="lowerLetter"/>
      <w:lvlText w:val="%1)"/>
      <w:lvlJc w:val="left"/>
      <w:pPr>
        <w:ind w:left="1080" w:hanging="360"/>
      </w:pPr>
      <w:rPr>
        <w:rFonts w:hint="default"/>
      </w:rPr>
    </w:lvl>
    <w:lvl w:ilvl="1" w:tplc="39A841B4" w:tentative="1">
      <w:start w:val="1"/>
      <w:numFmt w:val="lowerLetter"/>
      <w:lvlText w:val="%2."/>
      <w:lvlJc w:val="left"/>
      <w:pPr>
        <w:ind w:left="1800" w:hanging="360"/>
      </w:pPr>
    </w:lvl>
    <w:lvl w:ilvl="2" w:tplc="1EC02450" w:tentative="1">
      <w:start w:val="1"/>
      <w:numFmt w:val="lowerRoman"/>
      <w:lvlText w:val="%3."/>
      <w:lvlJc w:val="right"/>
      <w:pPr>
        <w:ind w:left="2520" w:hanging="180"/>
      </w:pPr>
    </w:lvl>
    <w:lvl w:ilvl="3" w:tplc="63040566" w:tentative="1">
      <w:start w:val="1"/>
      <w:numFmt w:val="decimal"/>
      <w:lvlText w:val="%4."/>
      <w:lvlJc w:val="left"/>
      <w:pPr>
        <w:ind w:left="3240" w:hanging="360"/>
      </w:pPr>
    </w:lvl>
    <w:lvl w:ilvl="4" w:tplc="52227B2E" w:tentative="1">
      <w:start w:val="1"/>
      <w:numFmt w:val="lowerLetter"/>
      <w:lvlText w:val="%5."/>
      <w:lvlJc w:val="left"/>
      <w:pPr>
        <w:ind w:left="3960" w:hanging="360"/>
      </w:pPr>
    </w:lvl>
    <w:lvl w:ilvl="5" w:tplc="3A346AF4" w:tentative="1">
      <w:start w:val="1"/>
      <w:numFmt w:val="lowerRoman"/>
      <w:lvlText w:val="%6."/>
      <w:lvlJc w:val="right"/>
      <w:pPr>
        <w:ind w:left="4680" w:hanging="180"/>
      </w:pPr>
    </w:lvl>
    <w:lvl w:ilvl="6" w:tplc="760AD5E6" w:tentative="1">
      <w:start w:val="1"/>
      <w:numFmt w:val="decimal"/>
      <w:lvlText w:val="%7."/>
      <w:lvlJc w:val="left"/>
      <w:pPr>
        <w:ind w:left="5400" w:hanging="360"/>
      </w:pPr>
    </w:lvl>
    <w:lvl w:ilvl="7" w:tplc="8F6CB922" w:tentative="1">
      <w:start w:val="1"/>
      <w:numFmt w:val="lowerLetter"/>
      <w:lvlText w:val="%8."/>
      <w:lvlJc w:val="left"/>
      <w:pPr>
        <w:ind w:left="6120" w:hanging="360"/>
      </w:pPr>
    </w:lvl>
    <w:lvl w:ilvl="8" w:tplc="DFFAF8C2" w:tentative="1">
      <w:start w:val="1"/>
      <w:numFmt w:val="lowerRoman"/>
      <w:lvlText w:val="%9."/>
      <w:lvlJc w:val="right"/>
      <w:pPr>
        <w:ind w:left="6840" w:hanging="180"/>
      </w:pPr>
    </w:lvl>
  </w:abstractNum>
  <w:abstractNum w:abstractNumId="21" w15:restartNumberingAfterBreak="0">
    <w:nsid w:val="17C62BE6"/>
    <w:multiLevelType w:val="hybridMultilevel"/>
    <w:tmpl w:val="B03E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54092"/>
    <w:multiLevelType w:val="hybridMultilevel"/>
    <w:tmpl w:val="FEA49838"/>
    <w:lvl w:ilvl="0" w:tplc="B1824688">
      <w:numFmt w:val="bullet"/>
      <w:lvlText w:val="-"/>
      <w:lvlJc w:val="left"/>
      <w:pPr>
        <w:ind w:left="1080" w:hanging="360"/>
      </w:pPr>
      <w:rPr>
        <w:rFonts w:ascii="Arial" w:eastAsia="Calibri" w:hAnsi="Arial" w:cs="Arial" w:hint="default"/>
      </w:rPr>
    </w:lvl>
    <w:lvl w:ilvl="1" w:tplc="653889AA" w:tentative="1">
      <w:start w:val="1"/>
      <w:numFmt w:val="bullet"/>
      <w:lvlText w:val="o"/>
      <w:lvlJc w:val="left"/>
      <w:pPr>
        <w:ind w:left="1800" w:hanging="360"/>
      </w:pPr>
      <w:rPr>
        <w:rFonts w:ascii="Courier New" w:hAnsi="Courier New" w:cs="Courier New" w:hint="default"/>
      </w:rPr>
    </w:lvl>
    <w:lvl w:ilvl="2" w:tplc="A8380C5E" w:tentative="1">
      <w:start w:val="1"/>
      <w:numFmt w:val="bullet"/>
      <w:lvlText w:val=""/>
      <w:lvlJc w:val="left"/>
      <w:pPr>
        <w:ind w:left="2520" w:hanging="360"/>
      </w:pPr>
      <w:rPr>
        <w:rFonts w:ascii="Wingdings" w:hAnsi="Wingdings" w:hint="default"/>
      </w:rPr>
    </w:lvl>
    <w:lvl w:ilvl="3" w:tplc="EE329CF0" w:tentative="1">
      <w:start w:val="1"/>
      <w:numFmt w:val="bullet"/>
      <w:lvlText w:val=""/>
      <w:lvlJc w:val="left"/>
      <w:pPr>
        <w:ind w:left="3240" w:hanging="360"/>
      </w:pPr>
      <w:rPr>
        <w:rFonts w:ascii="Symbol" w:hAnsi="Symbol" w:hint="default"/>
      </w:rPr>
    </w:lvl>
    <w:lvl w:ilvl="4" w:tplc="3EB86F54" w:tentative="1">
      <w:start w:val="1"/>
      <w:numFmt w:val="bullet"/>
      <w:lvlText w:val="o"/>
      <w:lvlJc w:val="left"/>
      <w:pPr>
        <w:ind w:left="3960" w:hanging="360"/>
      </w:pPr>
      <w:rPr>
        <w:rFonts w:ascii="Courier New" w:hAnsi="Courier New" w:cs="Courier New" w:hint="default"/>
      </w:rPr>
    </w:lvl>
    <w:lvl w:ilvl="5" w:tplc="6F2EB67E" w:tentative="1">
      <w:start w:val="1"/>
      <w:numFmt w:val="bullet"/>
      <w:lvlText w:val=""/>
      <w:lvlJc w:val="left"/>
      <w:pPr>
        <w:ind w:left="4680" w:hanging="360"/>
      </w:pPr>
      <w:rPr>
        <w:rFonts w:ascii="Wingdings" w:hAnsi="Wingdings" w:hint="default"/>
      </w:rPr>
    </w:lvl>
    <w:lvl w:ilvl="6" w:tplc="7E1A3BF6" w:tentative="1">
      <w:start w:val="1"/>
      <w:numFmt w:val="bullet"/>
      <w:lvlText w:val=""/>
      <w:lvlJc w:val="left"/>
      <w:pPr>
        <w:ind w:left="5400" w:hanging="360"/>
      </w:pPr>
      <w:rPr>
        <w:rFonts w:ascii="Symbol" w:hAnsi="Symbol" w:hint="default"/>
      </w:rPr>
    </w:lvl>
    <w:lvl w:ilvl="7" w:tplc="CF5A2448" w:tentative="1">
      <w:start w:val="1"/>
      <w:numFmt w:val="bullet"/>
      <w:lvlText w:val="o"/>
      <w:lvlJc w:val="left"/>
      <w:pPr>
        <w:ind w:left="6120" w:hanging="360"/>
      </w:pPr>
      <w:rPr>
        <w:rFonts w:ascii="Courier New" w:hAnsi="Courier New" w:cs="Courier New" w:hint="default"/>
      </w:rPr>
    </w:lvl>
    <w:lvl w:ilvl="8" w:tplc="48FC4B2A" w:tentative="1">
      <w:start w:val="1"/>
      <w:numFmt w:val="bullet"/>
      <w:lvlText w:val=""/>
      <w:lvlJc w:val="left"/>
      <w:pPr>
        <w:ind w:left="6840" w:hanging="360"/>
      </w:pPr>
      <w:rPr>
        <w:rFonts w:ascii="Wingdings" w:hAnsi="Wingdings" w:hint="default"/>
      </w:rPr>
    </w:lvl>
  </w:abstractNum>
  <w:abstractNum w:abstractNumId="23" w15:restartNumberingAfterBreak="0">
    <w:nsid w:val="26AB3411"/>
    <w:multiLevelType w:val="hybridMultilevel"/>
    <w:tmpl w:val="691852CA"/>
    <w:lvl w:ilvl="0" w:tplc="822431DA">
      <w:numFmt w:val="bullet"/>
      <w:lvlText w:val="-"/>
      <w:lvlJc w:val="left"/>
      <w:pPr>
        <w:ind w:left="720" w:hanging="360"/>
      </w:pPr>
      <w:rPr>
        <w:rFonts w:ascii="Arial" w:eastAsia="Times New Roman" w:hAnsi="Arial" w:cs="Arial" w:hint="default"/>
      </w:rPr>
    </w:lvl>
    <w:lvl w:ilvl="1" w:tplc="EA926F7A" w:tentative="1">
      <w:start w:val="1"/>
      <w:numFmt w:val="bullet"/>
      <w:lvlText w:val="o"/>
      <w:lvlJc w:val="left"/>
      <w:pPr>
        <w:ind w:left="1440" w:hanging="360"/>
      </w:pPr>
      <w:rPr>
        <w:rFonts w:ascii="Courier New" w:hAnsi="Courier New" w:cs="Courier New" w:hint="default"/>
      </w:rPr>
    </w:lvl>
    <w:lvl w:ilvl="2" w:tplc="3A46F7C4" w:tentative="1">
      <w:start w:val="1"/>
      <w:numFmt w:val="bullet"/>
      <w:lvlText w:val=""/>
      <w:lvlJc w:val="left"/>
      <w:pPr>
        <w:ind w:left="2160" w:hanging="360"/>
      </w:pPr>
      <w:rPr>
        <w:rFonts w:ascii="Wingdings" w:hAnsi="Wingdings" w:hint="default"/>
      </w:rPr>
    </w:lvl>
    <w:lvl w:ilvl="3" w:tplc="BBAC458C" w:tentative="1">
      <w:start w:val="1"/>
      <w:numFmt w:val="bullet"/>
      <w:lvlText w:val=""/>
      <w:lvlJc w:val="left"/>
      <w:pPr>
        <w:ind w:left="2880" w:hanging="360"/>
      </w:pPr>
      <w:rPr>
        <w:rFonts w:ascii="Symbol" w:hAnsi="Symbol" w:hint="default"/>
      </w:rPr>
    </w:lvl>
    <w:lvl w:ilvl="4" w:tplc="673A86FC" w:tentative="1">
      <w:start w:val="1"/>
      <w:numFmt w:val="bullet"/>
      <w:lvlText w:val="o"/>
      <w:lvlJc w:val="left"/>
      <w:pPr>
        <w:ind w:left="3600" w:hanging="360"/>
      </w:pPr>
      <w:rPr>
        <w:rFonts w:ascii="Courier New" w:hAnsi="Courier New" w:cs="Courier New" w:hint="default"/>
      </w:rPr>
    </w:lvl>
    <w:lvl w:ilvl="5" w:tplc="E52E988C" w:tentative="1">
      <w:start w:val="1"/>
      <w:numFmt w:val="bullet"/>
      <w:lvlText w:val=""/>
      <w:lvlJc w:val="left"/>
      <w:pPr>
        <w:ind w:left="4320" w:hanging="360"/>
      </w:pPr>
      <w:rPr>
        <w:rFonts w:ascii="Wingdings" w:hAnsi="Wingdings" w:hint="default"/>
      </w:rPr>
    </w:lvl>
    <w:lvl w:ilvl="6" w:tplc="BB3C8594" w:tentative="1">
      <w:start w:val="1"/>
      <w:numFmt w:val="bullet"/>
      <w:lvlText w:val=""/>
      <w:lvlJc w:val="left"/>
      <w:pPr>
        <w:ind w:left="5040" w:hanging="360"/>
      </w:pPr>
      <w:rPr>
        <w:rFonts w:ascii="Symbol" w:hAnsi="Symbol" w:hint="default"/>
      </w:rPr>
    </w:lvl>
    <w:lvl w:ilvl="7" w:tplc="E982DD18" w:tentative="1">
      <w:start w:val="1"/>
      <w:numFmt w:val="bullet"/>
      <w:lvlText w:val="o"/>
      <w:lvlJc w:val="left"/>
      <w:pPr>
        <w:ind w:left="5760" w:hanging="360"/>
      </w:pPr>
      <w:rPr>
        <w:rFonts w:ascii="Courier New" w:hAnsi="Courier New" w:cs="Courier New" w:hint="default"/>
      </w:rPr>
    </w:lvl>
    <w:lvl w:ilvl="8" w:tplc="7D7203C6" w:tentative="1">
      <w:start w:val="1"/>
      <w:numFmt w:val="bullet"/>
      <w:lvlText w:val=""/>
      <w:lvlJc w:val="left"/>
      <w:pPr>
        <w:ind w:left="6480" w:hanging="360"/>
      </w:pPr>
      <w:rPr>
        <w:rFonts w:ascii="Wingdings" w:hAnsi="Wingdings" w:hint="default"/>
      </w:rPr>
    </w:lvl>
  </w:abstractNum>
  <w:abstractNum w:abstractNumId="24" w15:restartNumberingAfterBreak="0">
    <w:nsid w:val="321170BE"/>
    <w:multiLevelType w:val="hybridMultilevel"/>
    <w:tmpl w:val="19147E50"/>
    <w:lvl w:ilvl="0" w:tplc="725806D8">
      <w:start w:val="1"/>
      <w:numFmt w:val="bullet"/>
      <w:lvlText w:val="-"/>
      <w:lvlJc w:val="left"/>
      <w:pPr>
        <w:ind w:left="720" w:hanging="360"/>
      </w:pPr>
      <w:rPr>
        <w:rFonts w:ascii="Calibri" w:eastAsiaTheme="minorHAnsi" w:hAnsi="Calibri" w:cstheme="minorBidi" w:hint="default"/>
      </w:rPr>
    </w:lvl>
    <w:lvl w:ilvl="1" w:tplc="D59EAC88">
      <w:numFmt w:val="bullet"/>
      <w:lvlText w:val="•"/>
      <w:lvlJc w:val="left"/>
      <w:pPr>
        <w:ind w:left="1800" w:hanging="720"/>
      </w:pPr>
      <w:rPr>
        <w:rFonts w:ascii="Calibri" w:eastAsiaTheme="minorHAnsi" w:hAnsi="Calibri" w:cs="Calibri" w:hint="default"/>
      </w:rPr>
    </w:lvl>
    <w:lvl w:ilvl="2" w:tplc="8A1AAE08" w:tentative="1">
      <w:start w:val="1"/>
      <w:numFmt w:val="bullet"/>
      <w:lvlText w:val=""/>
      <w:lvlJc w:val="left"/>
      <w:pPr>
        <w:ind w:left="2160" w:hanging="360"/>
      </w:pPr>
      <w:rPr>
        <w:rFonts w:ascii="Wingdings" w:hAnsi="Wingdings" w:hint="default"/>
      </w:rPr>
    </w:lvl>
    <w:lvl w:ilvl="3" w:tplc="100C10F0" w:tentative="1">
      <w:start w:val="1"/>
      <w:numFmt w:val="bullet"/>
      <w:lvlText w:val=""/>
      <w:lvlJc w:val="left"/>
      <w:pPr>
        <w:ind w:left="2880" w:hanging="360"/>
      </w:pPr>
      <w:rPr>
        <w:rFonts w:ascii="Symbol" w:hAnsi="Symbol" w:hint="default"/>
      </w:rPr>
    </w:lvl>
    <w:lvl w:ilvl="4" w:tplc="260A99B8" w:tentative="1">
      <w:start w:val="1"/>
      <w:numFmt w:val="bullet"/>
      <w:lvlText w:val="o"/>
      <w:lvlJc w:val="left"/>
      <w:pPr>
        <w:ind w:left="3600" w:hanging="360"/>
      </w:pPr>
      <w:rPr>
        <w:rFonts w:ascii="Courier New" w:hAnsi="Courier New" w:cs="Courier New" w:hint="default"/>
      </w:rPr>
    </w:lvl>
    <w:lvl w:ilvl="5" w:tplc="9D5C70E4" w:tentative="1">
      <w:start w:val="1"/>
      <w:numFmt w:val="bullet"/>
      <w:lvlText w:val=""/>
      <w:lvlJc w:val="left"/>
      <w:pPr>
        <w:ind w:left="4320" w:hanging="360"/>
      </w:pPr>
      <w:rPr>
        <w:rFonts w:ascii="Wingdings" w:hAnsi="Wingdings" w:hint="default"/>
      </w:rPr>
    </w:lvl>
    <w:lvl w:ilvl="6" w:tplc="3FCE3A0E" w:tentative="1">
      <w:start w:val="1"/>
      <w:numFmt w:val="bullet"/>
      <w:lvlText w:val=""/>
      <w:lvlJc w:val="left"/>
      <w:pPr>
        <w:ind w:left="5040" w:hanging="360"/>
      </w:pPr>
      <w:rPr>
        <w:rFonts w:ascii="Symbol" w:hAnsi="Symbol" w:hint="default"/>
      </w:rPr>
    </w:lvl>
    <w:lvl w:ilvl="7" w:tplc="B9AED670" w:tentative="1">
      <w:start w:val="1"/>
      <w:numFmt w:val="bullet"/>
      <w:lvlText w:val="o"/>
      <w:lvlJc w:val="left"/>
      <w:pPr>
        <w:ind w:left="5760" w:hanging="360"/>
      </w:pPr>
      <w:rPr>
        <w:rFonts w:ascii="Courier New" w:hAnsi="Courier New" w:cs="Courier New" w:hint="default"/>
      </w:rPr>
    </w:lvl>
    <w:lvl w:ilvl="8" w:tplc="0BEA9156"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06184598">
      <w:start w:val="1"/>
      <w:numFmt w:val="bullet"/>
      <w:pStyle w:val="Bullet"/>
      <w:lvlText w:val=""/>
      <w:lvlJc w:val="left"/>
      <w:pPr>
        <w:ind w:left="363" w:hanging="360"/>
      </w:pPr>
      <w:rPr>
        <w:rFonts w:ascii="Symbol" w:hAnsi="Symbol" w:hint="default"/>
      </w:rPr>
    </w:lvl>
    <w:lvl w:ilvl="1" w:tplc="3C46A0BA">
      <w:start w:val="1"/>
      <w:numFmt w:val="bullet"/>
      <w:pStyle w:val="Bullet-indent"/>
      <w:lvlText w:val="o"/>
      <w:lvlJc w:val="left"/>
      <w:pPr>
        <w:ind w:left="1083" w:hanging="360"/>
      </w:pPr>
      <w:rPr>
        <w:rFonts w:ascii="Courier New" w:hAnsi="Courier New" w:cs="Courier New" w:hint="default"/>
      </w:rPr>
    </w:lvl>
    <w:lvl w:ilvl="2" w:tplc="713CABD2" w:tentative="1">
      <w:start w:val="1"/>
      <w:numFmt w:val="bullet"/>
      <w:lvlText w:val=""/>
      <w:lvlJc w:val="left"/>
      <w:pPr>
        <w:ind w:left="1803" w:hanging="360"/>
      </w:pPr>
      <w:rPr>
        <w:rFonts w:ascii="Wingdings" w:hAnsi="Wingdings" w:hint="default"/>
      </w:rPr>
    </w:lvl>
    <w:lvl w:ilvl="3" w:tplc="2AEC2EF8" w:tentative="1">
      <w:start w:val="1"/>
      <w:numFmt w:val="bullet"/>
      <w:lvlText w:val=""/>
      <w:lvlJc w:val="left"/>
      <w:pPr>
        <w:ind w:left="2523" w:hanging="360"/>
      </w:pPr>
      <w:rPr>
        <w:rFonts w:ascii="Symbol" w:hAnsi="Symbol" w:hint="default"/>
      </w:rPr>
    </w:lvl>
    <w:lvl w:ilvl="4" w:tplc="4F1A0E00" w:tentative="1">
      <w:start w:val="1"/>
      <w:numFmt w:val="bullet"/>
      <w:lvlText w:val="o"/>
      <w:lvlJc w:val="left"/>
      <w:pPr>
        <w:ind w:left="3243" w:hanging="360"/>
      </w:pPr>
      <w:rPr>
        <w:rFonts w:ascii="Courier New" w:hAnsi="Courier New" w:cs="Courier New" w:hint="default"/>
      </w:rPr>
    </w:lvl>
    <w:lvl w:ilvl="5" w:tplc="752EFDFC" w:tentative="1">
      <w:start w:val="1"/>
      <w:numFmt w:val="bullet"/>
      <w:lvlText w:val=""/>
      <w:lvlJc w:val="left"/>
      <w:pPr>
        <w:ind w:left="3963" w:hanging="360"/>
      </w:pPr>
      <w:rPr>
        <w:rFonts w:ascii="Wingdings" w:hAnsi="Wingdings" w:hint="default"/>
      </w:rPr>
    </w:lvl>
    <w:lvl w:ilvl="6" w:tplc="4BD24E6A" w:tentative="1">
      <w:start w:val="1"/>
      <w:numFmt w:val="bullet"/>
      <w:lvlText w:val=""/>
      <w:lvlJc w:val="left"/>
      <w:pPr>
        <w:ind w:left="4683" w:hanging="360"/>
      </w:pPr>
      <w:rPr>
        <w:rFonts w:ascii="Symbol" w:hAnsi="Symbol" w:hint="default"/>
      </w:rPr>
    </w:lvl>
    <w:lvl w:ilvl="7" w:tplc="C194D60E" w:tentative="1">
      <w:start w:val="1"/>
      <w:numFmt w:val="bullet"/>
      <w:lvlText w:val="o"/>
      <w:lvlJc w:val="left"/>
      <w:pPr>
        <w:ind w:left="5403" w:hanging="360"/>
      </w:pPr>
      <w:rPr>
        <w:rFonts w:ascii="Courier New" w:hAnsi="Courier New" w:cs="Courier New" w:hint="default"/>
      </w:rPr>
    </w:lvl>
    <w:lvl w:ilvl="8" w:tplc="93882B9A" w:tentative="1">
      <w:start w:val="1"/>
      <w:numFmt w:val="bullet"/>
      <w:lvlText w:val=""/>
      <w:lvlJc w:val="left"/>
      <w:pPr>
        <w:ind w:left="6123" w:hanging="360"/>
      </w:pPr>
      <w:rPr>
        <w:rFonts w:ascii="Wingdings" w:hAnsi="Wingdings" w:hint="default"/>
      </w:rPr>
    </w:lvl>
  </w:abstractNum>
  <w:abstractNum w:abstractNumId="26" w15:restartNumberingAfterBreak="0">
    <w:nsid w:val="3DF34A72"/>
    <w:multiLevelType w:val="hybridMultilevel"/>
    <w:tmpl w:val="7BB2C166"/>
    <w:lvl w:ilvl="0" w:tplc="4F642A4C">
      <w:start w:val="1"/>
      <w:numFmt w:val="bullet"/>
      <w:lvlText w:val=""/>
      <w:lvlJc w:val="left"/>
      <w:pPr>
        <w:ind w:left="720" w:hanging="360"/>
      </w:pPr>
      <w:rPr>
        <w:rFonts w:ascii="Symbol" w:hAnsi="Symbol" w:hint="default"/>
      </w:rPr>
    </w:lvl>
    <w:lvl w:ilvl="1" w:tplc="1786CBA4" w:tentative="1">
      <w:start w:val="1"/>
      <w:numFmt w:val="bullet"/>
      <w:lvlText w:val="o"/>
      <w:lvlJc w:val="left"/>
      <w:pPr>
        <w:ind w:left="1440" w:hanging="360"/>
      </w:pPr>
      <w:rPr>
        <w:rFonts w:ascii="Courier New" w:hAnsi="Courier New" w:cs="Courier New" w:hint="default"/>
      </w:rPr>
    </w:lvl>
    <w:lvl w:ilvl="2" w:tplc="FEE412BC" w:tentative="1">
      <w:start w:val="1"/>
      <w:numFmt w:val="bullet"/>
      <w:lvlText w:val=""/>
      <w:lvlJc w:val="left"/>
      <w:pPr>
        <w:ind w:left="2160" w:hanging="360"/>
      </w:pPr>
      <w:rPr>
        <w:rFonts w:ascii="Wingdings" w:hAnsi="Wingdings" w:hint="default"/>
      </w:rPr>
    </w:lvl>
    <w:lvl w:ilvl="3" w:tplc="31A4B6F6" w:tentative="1">
      <w:start w:val="1"/>
      <w:numFmt w:val="bullet"/>
      <w:lvlText w:val=""/>
      <w:lvlJc w:val="left"/>
      <w:pPr>
        <w:ind w:left="2880" w:hanging="360"/>
      </w:pPr>
      <w:rPr>
        <w:rFonts w:ascii="Symbol" w:hAnsi="Symbol" w:hint="default"/>
      </w:rPr>
    </w:lvl>
    <w:lvl w:ilvl="4" w:tplc="75C0E76A" w:tentative="1">
      <w:start w:val="1"/>
      <w:numFmt w:val="bullet"/>
      <w:lvlText w:val="o"/>
      <w:lvlJc w:val="left"/>
      <w:pPr>
        <w:ind w:left="3600" w:hanging="360"/>
      </w:pPr>
      <w:rPr>
        <w:rFonts w:ascii="Courier New" w:hAnsi="Courier New" w:cs="Courier New" w:hint="default"/>
      </w:rPr>
    </w:lvl>
    <w:lvl w:ilvl="5" w:tplc="64C66DB8" w:tentative="1">
      <w:start w:val="1"/>
      <w:numFmt w:val="bullet"/>
      <w:lvlText w:val=""/>
      <w:lvlJc w:val="left"/>
      <w:pPr>
        <w:ind w:left="4320" w:hanging="360"/>
      </w:pPr>
      <w:rPr>
        <w:rFonts w:ascii="Wingdings" w:hAnsi="Wingdings" w:hint="default"/>
      </w:rPr>
    </w:lvl>
    <w:lvl w:ilvl="6" w:tplc="BAACEC58" w:tentative="1">
      <w:start w:val="1"/>
      <w:numFmt w:val="bullet"/>
      <w:lvlText w:val=""/>
      <w:lvlJc w:val="left"/>
      <w:pPr>
        <w:ind w:left="5040" w:hanging="360"/>
      </w:pPr>
      <w:rPr>
        <w:rFonts w:ascii="Symbol" w:hAnsi="Symbol" w:hint="default"/>
      </w:rPr>
    </w:lvl>
    <w:lvl w:ilvl="7" w:tplc="95229DD6" w:tentative="1">
      <w:start w:val="1"/>
      <w:numFmt w:val="bullet"/>
      <w:lvlText w:val="o"/>
      <w:lvlJc w:val="left"/>
      <w:pPr>
        <w:ind w:left="5760" w:hanging="360"/>
      </w:pPr>
      <w:rPr>
        <w:rFonts w:ascii="Courier New" w:hAnsi="Courier New" w:cs="Courier New" w:hint="default"/>
      </w:rPr>
    </w:lvl>
    <w:lvl w:ilvl="8" w:tplc="9C70DECE" w:tentative="1">
      <w:start w:val="1"/>
      <w:numFmt w:val="bullet"/>
      <w:lvlText w:val=""/>
      <w:lvlJc w:val="left"/>
      <w:pPr>
        <w:ind w:left="6480" w:hanging="360"/>
      </w:pPr>
      <w:rPr>
        <w:rFonts w:ascii="Wingdings" w:hAnsi="Wingdings" w:hint="default"/>
      </w:rPr>
    </w:lvl>
  </w:abstractNum>
  <w:abstractNum w:abstractNumId="27" w15:restartNumberingAfterBreak="0">
    <w:nsid w:val="3EEC2A6D"/>
    <w:multiLevelType w:val="hybridMultilevel"/>
    <w:tmpl w:val="2C1ECB44"/>
    <w:lvl w:ilvl="0" w:tplc="90E4DD90">
      <w:start w:val="1"/>
      <w:numFmt w:val="bullet"/>
      <w:lvlText w:val=""/>
      <w:lvlJc w:val="left"/>
      <w:pPr>
        <w:ind w:left="360" w:hanging="360"/>
      </w:pPr>
      <w:rPr>
        <w:rFonts w:ascii="Symbol" w:hAnsi="Symbol" w:hint="default"/>
        <w:color w:val="auto"/>
      </w:rPr>
    </w:lvl>
    <w:lvl w:ilvl="1" w:tplc="A1F0FA7C" w:tentative="1">
      <w:start w:val="1"/>
      <w:numFmt w:val="bullet"/>
      <w:lvlText w:val="o"/>
      <w:lvlJc w:val="left"/>
      <w:pPr>
        <w:ind w:left="1080" w:hanging="360"/>
      </w:pPr>
      <w:rPr>
        <w:rFonts w:ascii="Courier New" w:hAnsi="Courier New" w:cs="Courier New" w:hint="default"/>
      </w:rPr>
    </w:lvl>
    <w:lvl w:ilvl="2" w:tplc="04CED0FA" w:tentative="1">
      <w:start w:val="1"/>
      <w:numFmt w:val="bullet"/>
      <w:lvlText w:val=""/>
      <w:lvlJc w:val="left"/>
      <w:pPr>
        <w:ind w:left="1800" w:hanging="360"/>
      </w:pPr>
      <w:rPr>
        <w:rFonts w:ascii="Wingdings" w:hAnsi="Wingdings" w:hint="default"/>
      </w:rPr>
    </w:lvl>
    <w:lvl w:ilvl="3" w:tplc="923A2DDC" w:tentative="1">
      <w:start w:val="1"/>
      <w:numFmt w:val="bullet"/>
      <w:lvlText w:val=""/>
      <w:lvlJc w:val="left"/>
      <w:pPr>
        <w:ind w:left="2520" w:hanging="360"/>
      </w:pPr>
      <w:rPr>
        <w:rFonts w:ascii="Symbol" w:hAnsi="Symbol" w:hint="default"/>
      </w:rPr>
    </w:lvl>
    <w:lvl w:ilvl="4" w:tplc="9F8A12FE" w:tentative="1">
      <w:start w:val="1"/>
      <w:numFmt w:val="bullet"/>
      <w:lvlText w:val="o"/>
      <w:lvlJc w:val="left"/>
      <w:pPr>
        <w:ind w:left="3240" w:hanging="360"/>
      </w:pPr>
      <w:rPr>
        <w:rFonts w:ascii="Courier New" w:hAnsi="Courier New" w:cs="Courier New" w:hint="default"/>
      </w:rPr>
    </w:lvl>
    <w:lvl w:ilvl="5" w:tplc="1E46D95C" w:tentative="1">
      <w:start w:val="1"/>
      <w:numFmt w:val="bullet"/>
      <w:lvlText w:val=""/>
      <w:lvlJc w:val="left"/>
      <w:pPr>
        <w:ind w:left="3960" w:hanging="360"/>
      </w:pPr>
      <w:rPr>
        <w:rFonts w:ascii="Wingdings" w:hAnsi="Wingdings" w:hint="default"/>
      </w:rPr>
    </w:lvl>
    <w:lvl w:ilvl="6" w:tplc="235CF664" w:tentative="1">
      <w:start w:val="1"/>
      <w:numFmt w:val="bullet"/>
      <w:lvlText w:val=""/>
      <w:lvlJc w:val="left"/>
      <w:pPr>
        <w:ind w:left="4680" w:hanging="360"/>
      </w:pPr>
      <w:rPr>
        <w:rFonts w:ascii="Symbol" w:hAnsi="Symbol" w:hint="default"/>
      </w:rPr>
    </w:lvl>
    <w:lvl w:ilvl="7" w:tplc="0F98A920" w:tentative="1">
      <w:start w:val="1"/>
      <w:numFmt w:val="bullet"/>
      <w:lvlText w:val="o"/>
      <w:lvlJc w:val="left"/>
      <w:pPr>
        <w:ind w:left="5400" w:hanging="360"/>
      </w:pPr>
      <w:rPr>
        <w:rFonts w:ascii="Courier New" w:hAnsi="Courier New" w:cs="Courier New" w:hint="default"/>
      </w:rPr>
    </w:lvl>
    <w:lvl w:ilvl="8" w:tplc="AE707138" w:tentative="1">
      <w:start w:val="1"/>
      <w:numFmt w:val="bullet"/>
      <w:lvlText w:val=""/>
      <w:lvlJc w:val="left"/>
      <w:pPr>
        <w:ind w:left="6120" w:hanging="360"/>
      </w:pPr>
      <w:rPr>
        <w:rFonts w:ascii="Wingdings" w:hAnsi="Wingdings" w:hint="default"/>
      </w:rPr>
    </w:lvl>
  </w:abstractNum>
  <w:abstractNum w:abstractNumId="28" w15:restartNumberingAfterBreak="0">
    <w:nsid w:val="41324E0E"/>
    <w:multiLevelType w:val="hybridMultilevel"/>
    <w:tmpl w:val="4C2EEEDE"/>
    <w:lvl w:ilvl="0" w:tplc="C75A49E2">
      <w:start w:val="1"/>
      <w:numFmt w:val="bullet"/>
      <w:lvlText w:val=""/>
      <w:lvlJc w:val="left"/>
      <w:pPr>
        <w:ind w:left="780" w:hanging="360"/>
      </w:pPr>
      <w:rPr>
        <w:rFonts w:ascii="Symbol" w:hAnsi="Symbol" w:hint="default"/>
      </w:rPr>
    </w:lvl>
    <w:lvl w:ilvl="1" w:tplc="CBCE5AA8" w:tentative="1">
      <w:start w:val="1"/>
      <w:numFmt w:val="bullet"/>
      <w:lvlText w:val="o"/>
      <w:lvlJc w:val="left"/>
      <w:pPr>
        <w:ind w:left="1500" w:hanging="360"/>
      </w:pPr>
      <w:rPr>
        <w:rFonts w:ascii="Courier New" w:hAnsi="Courier New" w:cs="Courier New" w:hint="default"/>
      </w:rPr>
    </w:lvl>
    <w:lvl w:ilvl="2" w:tplc="49BADD22" w:tentative="1">
      <w:start w:val="1"/>
      <w:numFmt w:val="bullet"/>
      <w:lvlText w:val=""/>
      <w:lvlJc w:val="left"/>
      <w:pPr>
        <w:ind w:left="2220" w:hanging="360"/>
      </w:pPr>
      <w:rPr>
        <w:rFonts w:ascii="Wingdings" w:hAnsi="Wingdings" w:hint="default"/>
      </w:rPr>
    </w:lvl>
    <w:lvl w:ilvl="3" w:tplc="24C873F6" w:tentative="1">
      <w:start w:val="1"/>
      <w:numFmt w:val="bullet"/>
      <w:lvlText w:val=""/>
      <w:lvlJc w:val="left"/>
      <w:pPr>
        <w:ind w:left="2940" w:hanging="360"/>
      </w:pPr>
      <w:rPr>
        <w:rFonts w:ascii="Symbol" w:hAnsi="Symbol" w:hint="default"/>
      </w:rPr>
    </w:lvl>
    <w:lvl w:ilvl="4" w:tplc="30D48616" w:tentative="1">
      <w:start w:val="1"/>
      <w:numFmt w:val="bullet"/>
      <w:lvlText w:val="o"/>
      <w:lvlJc w:val="left"/>
      <w:pPr>
        <w:ind w:left="3660" w:hanging="360"/>
      </w:pPr>
      <w:rPr>
        <w:rFonts w:ascii="Courier New" w:hAnsi="Courier New" w:cs="Courier New" w:hint="default"/>
      </w:rPr>
    </w:lvl>
    <w:lvl w:ilvl="5" w:tplc="A18CE1BA" w:tentative="1">
      <w:start w:val="1"/>
      <w:numFmt w:val="bullet"/>
      <w:lvlText w:val=""/>
      <w:lvlJc w:val="left"/>
      <w:pPr>
        <w:ind w:left="4380" w:hanging="360"/>
      </w:pPr>
      <w:rPr>
        <w:rFonts w:ascii="Wingdings" w:hAnsi="Wingdings" w:hint="default"/>
      </w:rPr>
    </w:lvl>
    <w:lvl w:ilvl="6" w:tplc="19321C3A" w:tentative="1">
      <w:start w:val="1"/>
      <w:numFmt w:val="bullet"/>
      <w:lvlText w:val=""/>
      <w:lvlJc w:val="left"/>
      <w:pPr>
        <w:ind w:left="5100" w:hanging="360"/>
      </w:pPr>
      <w:rPr>
        <w:rFonts w:ascii="Symbol" w:hAnsi="Symbol" w:hint="default"/>
      </w:rPr>
    </w:lvl>
    <w:lvl w:ilvl="7" w:tplc="2B247222" w:tentative="1">
      <w:start w:val="1"/>
      <w:numFmt w:val="bullet"/>
      <w:lvlText w:val="o"/>
      <w:lvlJc w:val="left"/>
      <w:pPr>
        <w:ind w:left="5820" w:hanging="360"/>
      </w:pPr>
      <w:rPr>
        <w:rFonts w:ascii="Courier New" w:hAnsi="Courier New" w:cs="Courier New" w:hint="default"/>
      </w:rPr>
    </w:lvl>
    <w:lvl w:ilvl="8" w:tplc="E86E7CDE" w:tentative="1">
      <w:start w:val="1"/>
      <w:numFmt w:val="bullet"/>
      <w:lvlText w:val=""/>
      <w:lvlJc w:val="left"/>
      <w:pPr>
        <w:ind w:left="6540" w:hanging="360"/>
      </w:pPr>
      <w:rPr>
        <w:rFonts w:ascii="Wingdings" w:hAnsi="Wingdings" w:hint="default"/>
      </w:rPr>
    </w:lvl>
  </w:abstractNum>
  <w:abstractNum w:abstractNumId="29" w15:restartNumberingAfterBreak="0">
    <w:nsid w:val="420860A3"/>
    <w:multiLevelType w:val="hybridMultilevel"/>
    <w:tmpl w:val="2DF6A548"/>
    <w:lvl w:ilvl="0" w:tplc="F44CCADC">
      <w:start w:val="1"/>
      <w:numFmt w:val="decimal"/>
      <w:pStyle w:val="Heading2-numbered"/>
      <w:lvlText w:val="%1."/>
      <w:lvlJc w:val="left"/>
      <w:pPr>
        <w:ind w:left="360" w:hanging="360"/>
      </w:pPr>
    </w:lvl>
    <w:lvl w:ilvl="1" w:tplc="E7B6D70E" w:tentative="1">
      <w:start w:val="1"/>
      <w:numFmt w:val="lowerLetter"/>
      <w:lvlText w:val="%2."/>
      <w:lvlJc w:val="left"/>
      <w:pPr>
        <w:ind w:left="1080" w:hanging="360"/>
      </w:pPr>
    </w:lvl>
    <w:lvl w:ilvl="2" w:tplc="B8DC6D42" w:tentative="1">
      <w:start w:val="1"/>
      <w:numFmt w:val="lowerRoman"/>
      <w:lvlText w:val="%3."/>
      <w:lvlJc w:val="right"/>
      <w:pPr>
        <w:ind w:left="1800" w:hanging="180"/>
      </w:pPr>
    </w:lvl>
    <w:lvl w:ilvl="3" w:tplc="DAD0D9FE" w:tentative="1">
      <w:start w:val="1"/>
      <w:numFmt w:val="decimal"/>
      <w:lvlText w:val="%4."/>
      <w:lvlJc w:val="left"/>
      <w:pPr>
        <w:ind w:left="2520" w:hanging="360"/>
      </w:pPr>
    </w:lvl>
    <w:lvl w:ilvl="4" w:tplc="A120ED88" w:tentative="1">
      <w:start w:val="1"/>
      <w:numFmt w:val="lowerLetter"/>
      <w:lvlText w:val="%5."/>
      <w:lvlJc w:val="left"/>
      <w:pPr>
        <w:ind w:left="3240" w:hanging="360"/>
      </w:pPr>
    </w:lvl>
    <w:lvl w:ilvl="5" w:tplc="3CF28BFA" w:tentative="1">
      <w:start w:val="1"/>
      <w:numFmt w:val="lowerRoman"/>
      <w:lvlText w:val="%6."/>
      <w:lvlJc w:val="right"/>
      <w:pPr>
        <w:ind w:left="3960" w:hanging="180"/>
      </w:pPr>
    </w:lvl>
    <w:lvl w:ilvl="6" w:tplc="9906F40E" w:tentative="1">
      <w:start w:val="1"/>
      <w:numFmt w:val="decimal"/>
      <w:lvlText w:val="%7."/>
      <w:lvlJc w:val="left"/>
      <w:pPr>
        <w:ind w:left="4680" w:hanging="360"/>
      </w:pPr>
    </w:lvl>
    <w:lvl w:ilvl="7" w:tplc="50183A2E" w:tentative="1">
      <w:start w:val="1"/>
      <w:numFmt w:val="lowerLetter"/>
      <w:lvlText w:val="%8."/>
      <w:lvlJc w:val="left"/>
      <w:pPr>
        <w:ind w:left="5400" w:hanging="360"/>
      </w:pPr>
    </w:lvl>
    <w:lvl w:ilvl="8" w:tplc="4B380A84" w:tentative="1">
      <w:start w:val="1"/>
      <w:numFmt w:val="lowerRoman"/>
      <w:lvlText w:val="%9."/>
      <w:lvlJc w:val="right"/>
      <w:pPr>
        <w:ind w:left="6120" w:hanging="180"/>
      </w:pPr>
    </w:lvl>
  </w:abstractNum>
  <w:abstractNum w:abstractNumId="30" w15:restartNumberingAfterBreak="0">
    <w:nsid w:val="4E9E37F6"/>
    <w:multiLevelType w:val="hybridMultilevel"/>
    <w:tmpl w:val="DE04D486"/>
    <w:lvl w:ilvl="0" w:tplc="B878893E">
      <w:start w:val="1"/>
      <w:numFmt w:val="decimal"/>
      <w:lvlText w:val="%1."/>
      <w:lvlJc w:val="left"/>
      <w:pPr>
        <w:ind w:left="360" w:hanging="360"/>
      </w:pPr>
      <w:rPr>
        <w:rFonts w:hint="default"/>
      </w:rPr>
    </w:lvl>
    <w:lvl w:ilvl="1" w:tplc="9B64C166" w:tentative="1">
      <w:start w:val="1"/>
      <w:numFmt w:val="lowerLetter"/>
      <w:lvlText w:val="%2."/>
      <w:lvlJc w:val="left"/>
      <w:pPr>
        <w:ind w:left="1080" w:hanging="360"/>
      </w:pPr>
    </w:lvl>
    <w:lvl w:ilvl="2" w:tplc="14C42230" w:tentative="1">
      <w:start w:val="1"/>
      <w:numFmt w:val="lowerRoman"/>
      <w:lvlText w:val="%3."/>
      <w:lvlJc w:val="right"/>
      <w:pPr>
        <w:ind w:left="1800" w:hanging="180"/>
      </w:pPr>
    </w:lvl>
    <w:lvl w:ilvl="3" w:tplc="CF8A9C86" w:tentative="1">
      <w:start w:val="1"/>
      <w:numFmt w:val="decimal"/>
      <w:lvlText w:val="%4."/>
      <w:lvlJc w:val="left"/>
      <w:pPr>
        <w:ind w:left="2520" w:hanging="360"/>
      </w:pPr>
    </w:lvl>
    <w:lvl w:ilvl="4" w:tplc="6A4C59B4" w:tentative="1">
      <w:start w:val="1"/>
      <w:numFmt w:val="lowerLetter"/>
      <w:lvlText w:val="%5."/>
      <w:lvlJc w:val="left"/>
      <w:pPr>
        <w:ind w:left="3240" w:hanging="360"/>
      </w:pPr>
    </w:lvl>
    <w:lvl w:ilvl="5" w:tplc="E66A1106" w:tentative="1">
      <w:start w:val="1"/>
      <w:numFmt w:val="lowerRoman"/>
      <w:lvlText w:val="%6."/>
      <w:lvlJc w:val="right"/>
      <w:pPr>
        <w:ind w:left="3960" w:hanging="180"/>
      </w:pPr>
    </w:lvl>
    <w:lvl w:ilvl="6" w:tplc="939896E4" w:tentative="1">
      <w:start w:val="1"/>
      <w:numFmt w:val="decimal"/>
      <w:lvlText w:val="%7."/>
      <w:lvlJc w:val="left"/>
      <w:pPr>
        <w:ind w:left="4680" w:hanging="360"/>
      </w:pPr>
    </w:lvl>
    <w:lvl w:ilvl="7" w:tplc="1CE6FE2C" w:tentative="1">
      <w:start w:val="1"/>
      <w:numFmt w:val="lowerLetter"/>
      <w:lvlText w:val="%8."/>
      <w:lvlJc w:val="left"/>
      <w:pPr>
        <w:ind w:left="5400" w:hanging="360"/>
      </w:pPr>
    </w:lvl>
    <w:lvl w:ilvl="8" w:tplc="A96896A8" w:tentative="1">
      <w:start w:val="1"/>
      <w:numFmt w:val="lowerRoman"/>
      <w:lvlText w:val="%9."/>
      <w:lvlJc w:val="right"/>
      <w:pPr>
        <w:ind w:left="6120" w:hanging="180"/>
      </w:pPr>
    </w:lvl>
  </w:abstractNum>
  <w:abstractNum w:abstractNumId="31" w15:restartNumberingAfterBreak="0">
    <w:nsid w:val="63F759CD"/>
    <w:multiLevelType w:val="hybridMultilevel"/>
    <w:tmpl w:val="6FF22088"/>
    <w:lvl w:ilvl="0" w:tplc="85C2EEEA">
      <w:start w:val="1"/>
      <w:numFmt w:val="decimal"/>
      <w:pStyle w:val="Heading4"/>
      <w:lvlText w:val="%1."/>
      <w:lvlJc w:val="left"/>
      <w:pPr>
        <w:ind w:left="360" w:hanging="360"/>
      </w:pPr>
    </w:lvl>
    <w:lvl w:ilvl="1" w:tplc="4D924EC2" w:tentative="1">
      <w:start w:val="1"/>
      <w:numFmt w:val="lowerLetter"/>
      <w:lvlText w:val="%2."/>
      <w:lvlJc w:val="left"/>
      <w:pPr>
        <w:ind w:left="1080" w:hanging="360"/>
      </w:pPr>
    </w:lvl>
    <w:lvl w:ilvl="2" w:tplc="E77C0C18" w:tentative="1">
      <w:start w:val="1"/>
      <w:numFmt w:val="lowerRoman"/>
      <w:lvlText w:val="%3."/>
      <w:lvlJc w:val="right"/>
      <w:pPr>
        <w:ind w:left="1800" w:hanging="180"/>
      </w:pPr>
    </w:lvl>
    <w:lvl w:ilvl="3" w:tplc="43129754" w:tentative="1">
      <w:start w:val="1"/>
      <w:numFmt w:val="decimal"/>
      <w:lvlText w:val="%4."/>
      <w:lvlJc w:val="left"/>
      <w:pPr>
        <w:ind w:left="2520" w:hanging="360"/>
      </w:pPr>
    </w:lvl>
    <w:lvl w:ilvl="4" w:tplc="131442A6" w:tentative="1">
      <w:start w:val="1"/>
      <w:numFmt w:val="lowerLetter"/>
      <w:lvlText w:val="%5."/>
      <w:lvlJc w:val="left"/>
      <w:pPr>
        <w:ind w:left="3240" w:hanging="360"/>
      </w:pPr>
    </w:lvl>
    <w:lvl w:ilvl="5" w:tplc="450AFAA6" w:tentative="1">
      <w:start w:val="1"/>
      <w:numFmt w:val="lowerRoman"/>
      <w:lvlText w:val="%6."/>
      <w:lvlJc w:val="right"/>
      <w:pPr>
        <w:ind w:left="3960" w:hanging="180"/>
      </w:pPr>
    </w:lvl>
    <w:lvl w:ilvl="6" w:tplc="41BE84D6" w:tentative="1">
      <w:start w:val="1"/>
      <w:numFmt w:val="decimal"/>
      <w:lvlText w:val="%7."/>
      <w:lvlJc w:val="left"/>
      <w:pPr>
        <w:ind w:left="4680" w:hanging="360"/>
      </w:pPr>
    </w:lvl>
    <w:lvl w:ilvl="7" w:tplc="8EC464A4" w:tentative="1">
      <w:start w:val="1"/>
      <w:numFmt w:val="lowerLetter"/>
      <w:lvlText w:val="%8."/>
      <w:lvlJc w:val="left"/>
      <w:pPr>
        <w:ind w:left="5400" w:hanging="360"/>
      </w:pPr>
    </w:lvl>
    <w:lvl w:ilvl="8" w:tplc="7C52E46E" w:tentative="1">
      <w:start w:val="1"/>
      <w:numFmt w:val="lowerRoman"/>
      <w:lvlText w:val="%9."/>
      <w:lvlJc w:val="right"/>
      <w:pPr>
        <w:ind w:left="6120" w:hanging="180"/>
      </w:pPr>
    </w:lvl>
  </w:abstractNum>
  <w:abstractNum w:abstractNumId="32" w15:restartNumberingAfterBreak="0">
    <w:nsid w:val="6C553D47"/>
    <w:multiLevelType w:val="hybridMultilevel"/>
    <w:tmpl w:val="FDAA2C08"/>
    <w:lvl w:ilvl="0" w:tplc="8DEE8EF0">
      <w:start w:val="1"/>
      <w:numFmt w:val="bullet"/>
      <w:lvlText w:val=""/>
      <w:lvlJc w:val="left"/>
      <w:pPr>
        <w:ind w:left="720" w:hanging="360"/>
      </w:pPr>
      <w:rPr>
        <w:rFonts w:ascii="Symbol" w:hAnsi="Symbol" w:hint="default"/>
      </w:rPr>
    </w:lvl>
    <w:lvl w:ilvl="1" w:tplc="F55C6104" w:tentative="1">
      <w:start w:val="1"/>
      <w:numFmt w:val="bullet"/>
      <w:lvlText w:val="o"/>
      <w:lvlJc w:val="left"/>
      <w:pPr>
        <w:ind w:left="1440" w:hanging="360"/>
      </w:pPr>
      <w:rPr>
        <w:rFonts w:ascii="Courier New" w:hAnsi="Courier New" w:cs="Courier New" w:hint="default"/>
      </w:rPr>
    </w:lvl>
    <w:lvl w:ilvl="2" w:tplc="4906BCDA" w:tentative="1">
      <w:start w:val="1"/>
      <w:numFmt w:val="bullet"/>
      <w:lvlText w:val=""/>
      <w:lvlJc w:val="left"/>
      <w:pPr>
        <w:ind w:left="2160" w:hanging="360"/>
      </w:pPr>
      <w:rPr>
        <w:rFonts w:ascii="Wingdings" w:hAnsi="Wingdings" w:hint="default"/>
      </w:rPr>
    </w:lvl>
    <w:lvl w:ilvl="3" w:tplc="69D0C706" w:tentative="1">
      <w:start w:val="1"/>
      <w:numFmt w:val="bullet"/>
      <w:lvlText w:val=""/>
      <w:lvlJc w:val="left"/>
      <w:pPr>
        <w:ind w:left="2880" w:hanging="360"/>
      </w:pPr>
      <w:rPr>
        <w:rFonts w:ascii="Symbol" w:hAnsi="Symbol" w:hint="default"/>
      </w:rPr>
    </w:lvl>
    <w:lvl w:ilvl="4" w:tplc="CF40455C" w:tentative="1">
      <w:start w:val="1"/>
      <w:numFmt w:val="bullet"/>
      <w:lvlText w:val="o"/>
      <w:lvlJc w:val="left"/>
      <w:pPr>
        <w:ind w:left="3600" w:hanging="360"/>
      </w:pPr>
      <w:rPr>
        <w:rFonts w:ascii="Courier New" w:hAnsi="Courier New" w:cs="Courier New" w:hint="default"/>
      </w:rPr>
    </w:lvl>
    <w:lvl w:ilvl="5" w:tplc="5E5ED3AE" w:tentative="1">
      <w:start w:val="1"/>
      <w:numFmt w:val="bullet"/>
      <w:lvlText w:val=""/>
      <w:lvlJc w:val="left"/>
      <w:pPr>
        <w:ind w:left="4320" w:hanging="360"/>
      </w:pPr>
      <w:rPr>
        <w:rFonts w:ascii="Wingdings" w:hAnsi="Wingdings" w:hint="default"/>
      </w:rPr>
    </w:lvl>
    <w:lvl w:ilvl="6" w:tplc="31CE3864" w:tentative="1">
      <w:start w:val="1"/>
      <w:numFmt w:val="bullet"/>
      <w:lvlText w:val=""/>
      <w:lvlJc w:val="left"/>
      <w:pPr>
        <w:ind w:left="5040" w:hanging="360"/>
      </w:pPr>
      <w:rPr>
        <w:rFonts w:ascii="Symbol" w:hAnsi="Symbol" w:hint="default"/>
      </w:rPr>
    </w:lvl>
    <w:lvl w:ilvl="7" w:tplc="BC3CE00A" w:tentative="1">
      <w:start w:val="1"/>
      <w:numFmt w:val="bullet"/>
      <w:lvlText w:val="o"/>
      <w:lvlJc w:val="left"/>
      <w:pPr>
        <w:ind w:left="5760" w:hanging="360"/>
      </w:pPr>
      <w:rPr>
        <w:rFonts w:ascii="Courier New" w:hAnsi="Courier New" w:cs="Courier New" w:hint="default"/>
      </w:rPr>
    </w:lvl>
    <w:lvl w:ilvl="8" w:tplc="60E83652" w:tentative="1">
      <w:start w:val="1"/>
      <w:numFmt w:val="bullet"/>
      <w:lvlText w:val=""/>
      <w:lvlJc w:val="left"/>
      <w:pPr>
        <w:ind w:left="6480" w:hanging="360"/>
      </w:pPr>
      <w:rPr>
        <w:rFonts w:ascii="Wingdings" w:hAnsi="Wingdings" w:hint="default"/>
      </w:rPr>
    </w:lvl>
  </w:abstractNum>
  <w:abstractNum w:abstractNumId="33" w15:restartNumberingAfterBreak="0">
    <w:nsid w:val="712C6B77"/>
    <w:multiLevelType w:val="hybridMultilevel"/>
    <w:tmpl w:val="808278F0"/>
    <w:lvl w:ilvl="0" w:tplc="3DF2F89E">
      <w:start w:val="1"/>
      <w:numFmt w:val="decimal"/>
      <w:pStyle w:val="Heading3-numbered"/>
      <w:lvlText w:val="%1."/>
      <w:lvlJc w:val="left"/>
      <w:pPr>
        <w:ind w:left="360" w:hanging="360"/>
      </w:pPr>
      <w:rPr>
        <w:b/>
        <w:i w:val="0"/>
        <w:color w:val="auto"/>
        <w:sz w:val="28"/>
        <w:szCs w:val="28"/>
      </w:rPr>
    </w:lvl>
    <w:lvl w:ilvl="1" w:tplc="6DAE20BA" w:tentative="1">
      <w:start w:val="1"/>
      <w:numFmt w:val="lowerLetter"/>
      <w:lvlText w:val="%2."/>
      <w:lvlJc w:val="left"/>
      <w:pPr>
        <w:ind w:left="1080" w:hanging="360"/>
      </w:pPr>
    </w:lvl>
    <w:lvl w:ilvl="2" w:tplc="FBB26328" w:tentative="1">
      <w:start w:val="1"/>
      <w:numFmt w:val="lowerRoman"/>
      <w:lvlText w:val="%3."/>
      <w:lvlJc w:val="right"/>
      <w:pPr>
        <w:ind w:left="1800" w:hanging="180"/>
      </w:pPr>
    </w:lvl>
    <w:lvl w:ilvl="3" w:tplc="90323890" w:tentative="1">
      <w:start w:val="1"/>
      <w:numFmt w:val="decimal"/>
      <w:lvlText w:val="%4."/>
      <w:lvlJc w:val="left"/>
      <w:pPr>
        <w:ind w:left="2520" w:hanging="360"/>
      </w:pPr>
    </w:lvl>
    <w:lvl w:ilvl="4" w:tplc="562C3346" w:tentative="1">
      <w:start w:val="1"/>
      <w:numFmt w:val="lowerLetter"/>
      <w:lvlText w:val="%5."/>
      <w:lvlJc w:val="left"/>
      <w:pPr>
        <w:ind w:left="3240" w:hanging="360"/>
      </w:pPr>
    </w:lvl>
    <w:lvl w:ilvl="5" w:tplc="88301476" w:tentative="1">
      <w:start w:val="1"/>
      <w:numFmt w:val="lowerRoman"/>
      <w:lvlText w:val="%6."/>
      <w:lvlJc w:val="right"/>
      <w:pPr>
        <w:ind w:left="3960" w:hanging="180"/>
      </w:pPr>
    </w:lvl>
    <w:lvl w:ilvl="6" w:tplc="491C1640" w:tentative="1">
      <w:start w:val="1"/>
      <w:numFmt w:val="decimal"/>
      <w:lvlText w:val="%7."/>
      <w:lvlJc w:val="left"/>
      <w:pPr>
        <w:ind w:left="4680" w:hanging="360"/>
      </w:pPr>
    </w:lvl>
    <w:lvl w:ilvl="7" w:tplc="ED961FB0" w:tentative="1">
      <w:start w:val="1"/>
      <w:numFmt w:val="lowerLetter"/>
      <w:lvlText w:val="%8."/>
      <w:lvlJc w:val="left"/>
      <w:pPr>
        <w:ind w:left="5400" w:hanging="360"/>
      </w:pPr>
    </w:lvl>
    <w:lvl w:ilvl="8" w:tplc="08309916" w:tentative="1">
      <w:start w:val="1"/>
      <w:numFmt w:val="lowerRoman"/>
      <w:lvlText w:val="%9."/>
      <w:lvlJc w:val="right"/>
      <w:pPr>
        <w:ind w:left="6120" w:hanging="180"/>
      </w:pPr>
    </w:lvl>
  </w:abstractNum>
  <w:abstractNum w:abstractNumId="34" w15:restartNumberingAfterBreak="0">
    <w:nsid w:val="7FDD02E6"/>
    <w:multiLevelType w:val="hybridMultilevel"/>
    <w:tmpl w:val="DBE6A33C"/>
    <w:lvl w:ilvl="0" w:tplc="24E81AFA">
      <w:start w:val="1"/>
      <w:numFmt w:val="bullet"/>
      <w:lvlText w:val=""/>
      <w:lvlJc w:val="left"/>
      <w:pPr>
        <w:ind w:left="720" w:hanging="360"/>
      </w:pPr>
      <w:rPr>
        <w:rFonts w:ascii="Symbol" w:hAnsi="Symbol" w:hint="default"/>
      </w:rPr>
    </w:lvl>
    <w:lvl w:ilvl="1" w:tplc="66A41696" w:tentative="1">
      <w:start w:val="1"/>
      <w:numFmt w:val="bullet"/>
      <w:lvlText w:val="o"/>
      <w:lvlJc w:val="left"/>
      <w:pPr>
        <w:ind w:left="1440" w:hanging="360"/>
      </w:pPr>
      <w:rPr>
        <w:rFonts w:ascii="Courier New" w:hAnsi="Courier New" w:cs="Courier New" w:hint="default"/>
      </w:rPr>
    </w:lvl>
    <w:lvl w:ilvl="2" w:tplc="ECC85434" w:tentative="1">
      <w:start w:val="1"/>
      <w:numFmt w:val="bullet"/>
      <w:lvlText w:val=""/>
      <w:lvlJc w:val="left"/>
      <w:pPr>
        <w:ind w:left="2160" w:hanging="360"/>
      </w:pPr>
      <w:rPr>
        <w:rFonts w:ascii="Wingdings" w:hAnsi="Wingdings" w:hint="default"/>
      </w:rPr>
    </w:lvl>
    <w:lvl w:ilvl="3" w:tplc="EA1A79FE" w:tentative="1">
      <w:start w:val="1"/>
      <w:numFmt w:val="bullet"/>
      <w:lvlText w:val=""/>
      <w:lvlJc w:val="left"/>
      <w:pPr>
        <w:ind w:left="2880" w:hanging="360"/>
      </w:pPr>
      <w:rPr>
        <w:rFonts w:ascii="Symbol" w:hAnsi="Symbol" w:hint="default"/>
      </w:rPr>
    </w:lvl>
    <w:lvl w:ilvl="4" w:tplc="97923BEE" w:tentative="1">
      <w:start w:val="1"/>
      <w:numFmt w:val="bullet"/>
      <w:lvlText w:val="o"/>
      <w:lvlJc w:val="left"/>
      <w:pPr>
        <w:ind w:left="3600" w:hanging="360"/>
      </w:pPr>
      <w:rPr>
        <w:rFonts w:ascii="Courier New" w:hAnsi="Courier New" w:cs="Courier New" w:hint="default"/>
      </w:rPr>
    </w:lvl>
    <w:lvl w:ilvl="5" w:tplc="748CBED4" w:tentative="1">
      <w:start w:val="1"/>
      <w:numFmt w:val="bullet"/>
      <w:lvlText w:val=""/>
      <w:lvlJc w:val="left"/>
      <w:pPr>
        <w:ind w:left="4320" w:hanging="360"/>
      </w:pPr>
      <w:rPr>
        <w:rFonts w:ascii="Wingdings" w:hAnsi="Wingdings" w:hint="default"/>
      </w:rPr>
    </w:lvl>
    <w:lvl w:ilvl="6" w:tplc="56FED842" w:tentative="1">
      <w:start w:val="1"/>
      <w:numFmt w:val="bullet"/>
      <w:lvlText w:val=""/>
      <w:lvlJc w:val="left"/>
      <w:pPr>
        <w:ind w:left="5040" w:hanging="360"/>
      </w:pPr>
      <w:rPr>
        <w:rFonts w:ascii="Symbol" w:hAnsi="Symbol" w:hint="default"/>
      </w:rPr>
    </w:lvl>
    <w:lvl w:ilvl="7" w:tplc="E5548BCA" w:tentative="1">
      <w:start w:val="1"/>
      <w:numFmt w:val="bullet"/>
      <w:lvlText w:val="o"/>
      <w:lvlJc w:val="left"/>
      <w:pPr>
        <w:ind w:left="5760" w:hanging="360"/>
      </w:pPr>
      <w:rPr>
        <w:rFonts w:ascii="Courier New" w:hAnsi="Courier New" w:cs="Courier New" w:hint="default"/>
      </w:rPr>
    </w:lvl>
    <w:lvl w:ilvl="8" w:tplc="6A640F2E"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3"/>
  </w:num>
  <w:num w:numId="4">
    <w:abstractNumId w:val="3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2"/>
  </w:num>
  <w:num w:numId="27">
    <w:abstractNumId w:val="23"/>
  </w:num>
  <w:num w:numId="28">
    <w:abstractNumId w:val="28"/>
  </w:num>
  <w:num w:numId="29">
    <w:abstractNumId w:val="20"/>
  </w:num>
  <w:num w:numId="30">
    <w:abstractNumId w:val="32"/>
  </w:num>
  <w:num w:numId="31">
    <w:abstractNumId w:val="30"/>
  </w:num>
  <w:num w:numId="32">
    <w:abstractNumId w:val="24"/>
  </w:num>
  <w:num w:numId="33">
    <w:abstractNumId w:val="34"/>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B1"/>
    <w:rsid w:val="00273483"/>
    <w:rsid w:val="002A1E86"/>
    <w:rsid w:val="002E5A99"/>
    <w:rsid w:val="002F12B1"/>
    <w:rsid w:val="00373443"/>
    <w:rsid w:val="0044300E"/>
    <w:rsid w:val="00525D8B"/>
    <w:rsid w:val="00557D0C"/>
    <w:rsid w:val="00627592"/>
    <w:rsid w:val="008A67E6"/>
    <w:rsid w:val="008A7019"/>
    <w:rsid w:val="008B7F32"/>
    <w:rsid w:val="00911248"/>
    <w:rsid w:val="00962B95"/>
    <w:rsid w:val="00985EAE"/>
    <w:rsid w:val="009E12EC"/>
    <w:rsid w:val="00A611B0"/>
    <w:rsid w:val="00A87DE9"/>
    <w:rsid w:val="00AB5726"/>
    <w:rsid w:val="00AB5C6B"/>
    <w:rsid w:val="00AE4ACF"/>
    <w:rsid w:val="00B12B6D"/>
    <w:rsid w:val="00B647A5"/>
    <w:rsid w:val="00BE39AF"/>
    <w:rsid w:val="00C07D59"/>
    <w:rsid w:val="00C12E36"/>
    <w:rsid w:val="00C42640"/>
    <w:rsid w:val="00D10794"/>
    <w:rsid w:val="00D81049"/>
    <w:rsid w:val="00DE3A28"/>
    <w:rsid w:val="00EF3BE0"/>
    <w:rsid w:val="00F341A9"/>
    <w:rsid w:val="00F805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DFA3"/>
  <w15:docId w15:val="{D6144F36-9591-4C73-A2CB-83620428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56C1A"/>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6805CF"/>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6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D68E6"/>
  </w:style>
  <w:style w:type="paragraph" w:customStyle="1" w:styleId="Normal1">
    <w:name w:val="Normal1"/>
    <w:uiPriority w:val="99"/>
    <w:rsid w:val="00677ADA"/>
    <w:pPr>
      <w:spacing w:after="120"/>
      <w:jc w:val="both"/>
    </w:pPr>
    <w:rPr>
      <w:rFonts w:eastAsia="Arial" w:cs="Arial"/>
      <w:sz w:val="24"/>
      <w:szCs w:val="24"/>
    </w:rPr>
  </w:style>
  <w:style w:type="character" w:customStyle="1" w:styleId="normaltextrun">
    <w:name w:val="normaltextrun"/>
    <w:basedOn w:val="DefaultParagraphFont"/>
    <w:rsid w:val="0070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res\ResourcesRestrictedPermissions\Schools%20Forum\Schools%20Forum\LSF\Meetings\Schools%20Forum\6%20July%202021\school%20balances%20graph%202021%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2020/21</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elete val="1"/>
          </c:dLbls>
          <c:cat>
            <c:strRef>
              <c:f>'[school balances graph 2021 22.xlsx]graph'!$B$3:$M$3</c:f>
              <c:strCache>
                <c:ptCount val="12"/>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strCache>
            </c:strRef>
          </c:cat>
          <c:val>
            <c:numRef>
              <c:f>'[school balances graph 2021 22.xlsx]graph'!$B$4:$M$4</c:f>
              <c:numCache>
                <c:formatCode>General</c:formatCode>
                <c:ptCount val="12"/>
                <c:pt idx="0">
                  <c:v>39.823</c:v>
                </c:pt>
                <c:pt idx="1">
                  <c:v>47.317</c:v>
                </c:pt>
                <c:pt idx="2">
                  <c:v>52.225000000000001</c:v>
                </c:pt>
                <c:pt idx="3">
                  <c:v>51.48</c:v>
                </c:pt>
                <c:pt idx="4">
                  <c:v>55.853999999999999</c:v>
                </c:pt>
                <c:pt idx="5">
                  <c:v>56.372999999999998</c:v>
                </c:pt>
                <c:pt idx="6">
                  <c:v>53.945999999999998</c:v>
                </c:pt>
                <c:pt idx="7">
                  <c:v>45.280999999999999</c:v>
                </c:pt>
                <c:pt idx="8">
                  <c:v>44.15</c:v>
                </c:pt>
                <c:pt idx="9">
                  <c:v>42.74</c:v>
                </c:pt>
                <c:pt idx="10">
                  <c:v>47.32</c:v>
                </c:pt>
                <c:pt idx="11">
                  <c:v>90.14</c:v>
                </c:pt>
              </c:numCache>
            </c:numRef>
          </c:val>
          <c:smooth val="0"/>
          <c:extLst>
            <c:ext xmlns:c16="http://schemas.microsoft.com/office/drawing/2014/chart" uri="{C3380CC4-5D6E-409C-BE32-E72D297353CC}">
              <c16:uniqueId val="{00000000-2FB7-4DAE-9B6C-DB43F8A62F2C}"/>
            </c:ext>
          </c:extLst>
        </c:ser>
        <c:dLbls>
          <c:dLblPos val="ctr"/>
          <c:showLegendKey val="0"/>
          <c:showVal val="1"/>
          <c:showCatName val="0"/>
          <c:showSerName val="0"/>
          <c:showPercent val="0"/>
          <c:showBubbleSize val="0"/>
        </c:dLbls>
        <c:marker val="1"/>
        <c:smooth val="0"/>
        <c:axId val="282889808"/>
        <c:axId val="282890200"/>
      </c:lineChart>
      <c:catAx>
        <c:axId val="2828898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Finacial 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2890200"/>
        <c:crosses val="autoZero"/>
        <c:auto val="1"/>
        <c:lblAlgn val="ctr"/>
        <c:lblOffset val="100"/>
        <c:noMultiLvlLbl val="0"/>
      </c:catAx>
      <c:valAx>
        <c:axId val="282890200"/>
        <c:scaling>
          <c:orientation val="minMax"/>
        </c:scaling>
        <c:delete val="0"/>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8288980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E0CE-A30F-4688-92E6-BA92595F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1878</TotalTime>
  <Pages>52</Pages>
  <Words>15503</Words>
  <Characters>88371</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Lee, Kate</cp:lastModifiedBy>
  <cp:revision>83</cp:revision>
  <cp:lastPrinted>2020-06-11T13:17:00Z</cp:lastPrinted>
  <dcterms:created xsi:type="dcterms:W3CDTF">2020-06-26T09:10:00Z</dcterms:created>
  <dcterms:modified xsi:type="dcterms:W3CDTF">2021-05-28T10:13:00Z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